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453AA" w14:textId="35F7DF6D" w:rsidR="00EB56D5" w:rsidRPr="000D3F00" w:rsidRDefault="00EB56D5" w:rsidP="000D3F00">
      <w:pPr>
        <w:pStyle w:val="Title"/>
      </w:pPr>
      <w:r w:rsidRPr="000D3F00">
        <w:t xml:space="preserve">RELATÓRIO </w:t>
      </w:r>
      <w:r w:rsidR="00EB2CDB" w:rsidRPr="000D3F00">
        <w:t>DE COLETA DE DADOS</w:t>
      </w:r>
    </w:p>
    <w:p w14:paraId="0F3A7B93" w14:textId="71B83CC2" w:rsidR="00EB56D5" w:rsidRPr="00325305" w:rsidRDefault="00237813" w:rsidP="00237813">
      <w:pPr>
        <w:pStyle w:val="Subtitle"/>
      </w:pPr>
      <w:r>
        <w:t>Painel TIC COVID</w:t>
      </w:r>
      <w:r>
        <w:noBreakHyphen/>
        <w:t>19 – 4ª Edição</w:t>
      </w:r>
    </w:p>
    <w:p w14:paraId="05FC2496" w14:textId="4D79B395" w:rsidR="00EB56D5" w:rsidRPr="000D3F00" w:rsidRDefault="00EB56D5" w:rsidP="00237813">
      <w:pPr>
        <w:pStyle w:val="Heading1"/>
      </w:pPr>
      <w:r w:rsidRPr="000D3F00">
        <w:t>1</w:t>
      </w:r>
      <w:r w:rsidR="000D3F00">
        <w:t>.</w:t>
      </w:r>
      <w:r w:rsidRPr="000D3F00">
        <w:t xml:space="preserve"> </w:t>
      </w:r>
      <w:r w:rsidRPr="00237813">
        <w:t>INTRODUÇÃO</w:t>
      </w:r>
    </w:p>
    <w:p w14:paraId="35143B3A" w14:textId="2493BAF9" w:rsidR="00EB56D5" w:rsidRDefault="00EB56D5" w:rsidP="00EB56D5">
      <w:pPr>
        <w:jc w:val="both"/>
      </w:pPr>
      <w:r>
        <w:t xml:space="preserve">O Comitê Gestor da Internet no Brasil (CGI.br), por meio do Centro Regional de Estudos para o Desenvolvimento da Sociedade da Informação (Cetic.br), departamento do Núcleo de Informação e Coordenação do Ponto BR (NIC.br), apresenta </w:t>
      </w:r>
      <w:r w:rsidR="00EB2CDB">
        <w:t xml:space="preserve">a avaliação da coleta de dados e processos associados aos resultados da </w:t>
      </w:r>
      <w:r w:rsidR="003F14A4" w:rsidRPr="006739B4">
        <w:rPr>
          <w:i/>
          <w:iCs/>
        </w:rPr>
        <w:t xml:space="preserve">Pesquisa </w:t>
      </w:r>
      <w:r w:rsidR="003F14A4" w:rsidRPr="00056F82">
        <w:rPr>
          <w:i/>
          <w:iCs/>
        </w:rPr>
        <w:t>on-line com usuários de Internet no Brasil – Painel TIC COVID-19 (4ª Edição)</w:t>
      </w:r>
      <w:r w:rsidRPr="002A796F">
        <w:t>.</w:t>
      </w:r>
    </w:p>
    <w:p w14:paraId="24B3C45F" w14:textId="755F09C7" w:rsidR="00EB56D5" w:rsidRPr="000D3F00" w:rsidRDefault="00EB2CDB" w:rsidP="00237813">
      <w:pPr>
        <w:pStyle w:val="Heading1"/>
      </w:pPr>
      <w:r w:rsidRPr="000D3F00">
        <w:t>2</w:t>
      </w:r>
      <w:r w:rsidR="000D3F00">
        <w:t>.</w:t>
      </w:r>
      <w:r w:rsidR="00EB56D5" w:rsidRPr="000D3F00">
        <w:t xml:space="preserve"> INSTRUMENTOS DE COLETA</w:t>
      </w:r>
    </w:p>
    <w:p w14:paraId="1F814050" w14:textId="3B0D0EAF" w:rsidR="00EB56D5" w:rsidRPr="000D3F00" w:rsidRDefault="00EB2CDB" w:rsidP="00237813">
      <w:pPr>
        <w:pStyle w:val="Heading2"/>
      </w:pPr>
      <w:r w:rsidRPr="000D3F00">
        <w:t>2</w:t>
      </w:r>
      <w:r w:rsidR="00EB56D5" w:rsidRPr="000D3F00">
        <w:t>.1</w:t>
      </w:r>
      <w:r w:rsidR="000D3F00">
        <w:t>.</w:t>
      </w:r>
      <w:r w:rsidR="00EB56D5" w:rsidRPr="000D3F00">
        <w:t xml:space="preserve"> INFORMAÇÕES </w:t>
      </w:r>
      <w:r w:rsidR="00EB56D5" w:rsidRPr="00237813">
        <w:t>SOBRE</w:t>
      </w:r>
      <w:r w:rsidR="00EB56D5" w:rsidRPr="000D3F00">
        <w:t xml:space="preserve"> OS INSTRUMENTOS DE COLETA</w:t>
      </w:r>
    </w:p>
    <w:p w14:paraId="3C8D01B3" w14:textId="40A8FDA9" w:rsidR="00EB56D5" w:rsidRDefault="00EB56D5" w:rsidP="00EB56D5">
      <w:pPr>
        <w:jc w:val="both"/>
      </w:pPr>
      <w:r>
        <w:t>Os dados foram coletados por meio de questionários estruturados, com perguntas fechadas e respostas predefinidas (respostas únicas ou múltiplas).  Fo</w:t>
      </w:r>
      <w:r w:rsidR="00F54922">
        <w:t>i</w:t>
      </w:r>
      <w:r>
        <w:t xml:space="preserve"> utilizado </w:t>
      </w:r>
      <w:r w:rsidR="00F54922">
        <w:t>um</w:t>
      </w:r>
      <w:r>
        <w:t xml:space="preserve"> questionário </w:t>
      </w:r>
      <w:r>
        <w:rPr>
          <w:i/>
          <w:iCs/>
        </w:rPr>
        <w:t>web</w:t>
      </w:r>
      <w:r>
        <w:t xml:space="preserve"> </w:t>
      </w:r>
      <w:r w:rsidR="00F54922">
        <w:t>que</w:t>
      </w:r>
      <w:r>
        <w:t xml:space="preserve"> requeria autopreenchimento, sem mediação de entrevistador. </w:t>
      </w:r>
    </w:p>
    <w:p w14:paraId="3C060430" w14:textId="5DA765F1" w:rsidR="00EB56D5" w:rsidRPr="000D3F00" w:rsidRDefault="00EB2CDB" w:rsidP="00237813">
      <w:pPr>
        <w:pStyle w:val="Heading2"/>
      </w:pPr>
      <w:r w:rsidRPr="000D3F00">
        <w:t>2</w:t>
      </w:r>
      <w:r w:rsidR="00EB56D5" w:rsidRPr="000D3F00">
        <w:t>.2</w:t>
      </w:r>
      <w:r w:rsidR="00201837">
        <w:t>.</w:t>
      </w:r>
      <w:r w:rsidR="00EB56D5" w:rsidRPr="000D3F00">
        <w:t xml:space="preserve"> TEMÁTICAS ABORDADAS</w:t>
      </w:r>
    </w:p>
    <w:p w14:paraId="29F27AE8" w14:textId="57CDD7D3" w:rsidR="007B1A58" w:rsidRDefault="00111237" w:rsidP="00EB56D5">
      <w:pPr>
        <w:jc w:val="both"/>
      </w:pPr>
      <w:r>
        <w:t>A</w:t>
      </w:r>
      <w:r w:rsidR="00EB56D5">
        <w:t xml:space="preserve"> pesquisa investig</w:t>
      </w:r>
      <w:r w:rsidR="00EB2CDB">
        <w:t>ou</w:t>
      </w:r>
      <w:r w:rsidR="00EB56D5">
        <w:t xml:space="preserve"> atividades realizadas na Internet e dispositivos utilizados para </w:t>
      </w:r>
      <w:r w:rsidR="007B1A58">
        <w:t>acesso à</w:t>
      </w:r>
      <w:r w:rsidR="00EB56D5">
        <w:t xml:space="preserve"> rede, tendo como referência os indicadores validados pela pesquisa TIC Domicílios (Comitê Gestor da Internet no Brasil [CGI.br], 2020)</w:t>
      </w:r>
      <w:r w:rsidR="002C3E8C">
        <w:t xml:space="preserve"> e indicadores de uso relacionados a</w:t>
      </w:r>
      <w:r w:rsidR="00BA3893">
        <w:t>os</w:t>
      </w:r>
      <w:r w:rsidR="002C3E8C">
        <w:t xml:space="preserve"> temas</w:t>
      </w:r>
      <w:r w:rsidR="00BA3893">
        <w:t>:</w:t>
      </w:r>
    </w:p>
    <w:p w14:paraId="7FAD2B07" w14:textId="77777777" w:rsidR="006B3BA3" w:rsidRPr="002A796F" w:rsidRDefault="006B3BA3" w:rsidP="002A796F">
      <w:pPr>
        <w:pStyle w:val="ListParagraph"/>
        <w:numPr>
          <w:ilvl w:val="0"/>
          <w:numId w:val="12"/>
        </w:numPr>
        <w:jc w:val="both"/>
      </w:pPr>
      <w:r w:rsidRPr="002A796F">
        <w:t>Cultura</w:t>
      </w:r>
    </w:p>
    <w:p w14:paraId="3158B7A9" w14:textId="77777777" w:rsidR="006B3BA3" w:rsidRPr="002A796F" w:rsidRDefault="006B3BA3" w:rsidP="002A796F">
      <w:pPr>
        <w:pStyle w:val="ListParagraph"/>
        <w:numPr>
          <w:ilvl w:val="0"/>
          <w:numId w:val="12"/>
        </w:numPr>
        <w:jc w:val="both"/>
      </w:pPr>
      <w:r w:rsidRPr="002A796F">
        <w:t>Comércio eletrônico</w:t>
      </w:r>
    </w:p>
    <w:p w14:paraId="338A9BA6" w14:textId="77777777" w:rsidR="006B3BA3" w:rsidRPr="002A796F" w:rsidRDefault="006B3BA3" w:rsidP="002A796F">
      <w:pPr>
        <w:pStyle w:val="ListParagraph"/>
        <w:numPr>
          <w:ilvl w:val="0"/>
          <w:numId w:val="12"/>
        </w:numPr>
        <w:jc w:val="both"/>
      </w:pPr>
      <w:r w:rsidRPr="002A796F">
        <w:t>Serviços públicos on-line</w:t>
      </w:r>
    </w:p>
    <w:p w14:paraId="6781ED32" w14:textId="77777777" w:rsidR="006B3BA3" w:rsidRPr="002A796F" w:rsidRDefault="006B3BA3" w:rsidP="002A796F">
      <w:pPr>
        <w:pStyle w:val="ListParagraph"/>
        <w:numPr>
          <w:ilvl w:val="0"/>
          <w:numId w:val="12"/>
        </w:numPr>
        <w:jc w:val="both"/>
        <w:rPr>
          <w:noProof/>
        </w:rPr>
      </w:pPr>
      <w:r w:rsidRPr="002A796F">
        <w:rPr>
          <w:noProof/>
        </w:rPr>
        <w:t>Telessaúde</w:t>
      </w:r>
    </w:p>
    <w:p w14:paraId="7E757259" w14:textId="77777777" w:rsidR="006B3BA3" w:rsidRPr="002A796F" w:rsidRDefault="006B3BA3" w:rsidP="002A796F">
      <w:pPr>
        <w:pStyle w:val="ListParagraph"/>
        <w:numPr>
          <w:ilvl w:val="0"/>
          <w:numId w:val="12"/>
        </w:numPr>
        <w:jc w:val="both"/>
      </w:pPr>
      <w:r w:rsidRPr="002A796F">
        <w:t>Ensino remoto</w:t>
      </w:r>
    </w:p>
    <w:p w14:paraId="575D4866" w14:textId="0EDD9033" w:rsidR="002C3E8C" w:rsidRPr="002A796F" w:rsidRDefault="006B3BA3" w:rsidP="002A796F">
      <w:pPr>
        <w:pStyle w:val="ListParagraph"/>
        <w:numPr>
          <w:ilvl w:val="0"/>
          <w:numId w:val="12"/>
        </w:numPr>
      </w:pPr>
      <w:r w:rsidRPr="002A796F">
        <w:t>Teletrabalho</w:t>
      </w:r>
      <w:r w:rsidRPr="002A796F" w:rsidDel="006B3BA3">
        <w:t xml:space="preserve"> </w:t>
      </w:r>
    </w:p>
    <w:p w14:paraId="780E7154" w14:textId="4D443393" w:rsidR="00EB56D5" w:rsidRPr="000D3F00" w:rsidRDefault="00BA3893" w:rsidP="00237813">
      <w:pPr>
        <w:pStyle w:val="Heading1"/>
      </w:pPr>
      <w:r w:rsidRPr="000D3F00">
        <w:t>3</w:t>
      </w:r>
      <w:r w:rsidR="000D3F00">
        <w:t>.</w:t>
      </w:r>
      <w:r w:rsidR="00EB56D5" w:rsidRPr="000D3F00">
        <w:t xml:space="preserve"> COLETA DE DADOS EM CAMPO</w:t>
      </w:r>
    </w:p>
    <w:p w14:paraId="5D1E8EA9" w14:textId="179E4918" w:rsidR="00EB56D5" w:rsidRPr="000D3F00" w:rsidRDefault="00F54082" w:rsidP="00237813">
      <w:pPr>
        <w:pStyle w:val="Heading2"/>
      </w:pPr>
      <w:r w:rsidRPr="000D3F00">
        <w:t>3</w:t>
      </w:r>
      <w:r w:rsidR="00EB56D5" w:rsidRPr="000D3F00">
        <w:t>.1</w:t>
      </w:r>
      <w:r w:rsidR="000D3F00">
        <w:t>.</w:t>
      </w:r>
      <w:r w:rsidR="00EB56D5" w:rsidRPr="000D3F00">
        <w:t xml:space="preserve"> MÉTODO DE COLETA</w:t>
      </w:r>
    </w:p>
    <w:p w14:paraId="7853E001" w14:textId="01718081" w:rsidR="00EB56D5" w:rsidRPr="00DF730A" w:rsidRDefault="00EB56D5" w:rsidP="00EB56D5">
      <w:pPr>
        <w:jc w:val="both"/>
      </w:pPr>
      <w:r>
        <w:t>Os dados foram coletados por meio de questionários estruturados. Fo</w:t>
      </w:r>
      <w:r w:rsidR="00530E12">
        <w:t>i</w:t>
      </w:r>
      <w:r>
        <w:t xml:space="preserve"> utilizado </w:t>
      </w:r>
      <w:r w:rsidR="00530E12">
        <w:t>o modo de coleta</w:t>
      </w:r>
      <w:r>
        <w:t xml:space="preserve"> </w:t>
      </w:r>
      <w:r>
        <w:rPr>
          <w:noProof/>
        </w:rPr>
        <w:t>CAWI</w:t>
      </w:r>
      <w:r>
        <w:t xml:space="preserve"> (do inglês, </w:t>
      </w:r>
      <w:r w:rsidR="00111237" w:rsidRPr="002A796F">
        <w:rPr>
          <w:i/>
          <w:iCs/>
          <w:lang w:val="en-US"/>
        </w:rPr>
        <w:t>computer-assisted web interviewing</w:t>
      </w:r>
      <w:r>
        <w:t xml:space="preserve">), que utiliza um questionário programado e </w:t>
      </w:r>
      <w:r>
        <w:rPr>
          <w:noProof/>
        </w:rPr>
        <w:t>autoaplicado</w:t>
      </w:r>
      <w:r>
        <w:t xml:space="preserve"> via questionário </w:t>
      </w:r>
      <w:r>
        <w:rPr>
          <w:i/>
          <w:iCs/>
        </w:rPr>
        <w:t>on-line</w:t>
      </w:r>
      <w:r>
        <w:t>.</w:t>
      </w:r>
    </w:p>
    <w:p w14:paraId="294DDE20" w14:textId="71068F30" w:rsidR="00BA3893" w:rsidRPr="000D3F00" w:rsidRDefault="00F54082" w:rsidP="00237813">
      <w:pPr>
        <w:pStyle w:val="Heading2"/>
      </w:pPr>
      <w:r w:rsidRPr="000D3F00">
        <w:lastRenderedPageBreak/>
        <w:t>3</w:t>
      </w:r>
      <w:r w:rsidR="00BA3893" w:rsidRPr="000D3F00">
        <w:t>.2</w:t>
      </w:r>
      <w:r w:rsidR="000D3F00">
        <w:t>.</w:t>
      </w:r>
      <w:r w:rsidR="00BA3893" w:rsidRPr="000D3F00">
        <w:t xml:space="preserve"> PERÍODO DE COLETA</w:t>
      </w:r>
    </w:p>
    <w:p w14:paraId="44C574CF" w14:textId="2377C424" w:rsidR="00EB56D5" w:rsidRDefault="00BA3893" w:rsidP="00BA3893">
      <w:pPr>
        <w:jc w:val="both"/>
      </w:pPr>
      <w:r>
        <w:t xml:space="preserve">Os dados foram coletados entre </w:t>
      </w:r>
      <w:r w:rsidR="00111237">
        <w:t xml:space="preserve">15 </w:t>
      </w:r>
      <w:r>
        <w:t xml:space="preserve">e </w:t>
      </w:r>
      <w:r w:rsidR="00111237">
        <w:t>30 de julho de 2021</w:t>
      </w:r>
      <w:r>
        <w:t>.</w:t>
      </w:r>
    </w:p>
    <w:p w14:paraId="6D273358" w14:textId="413F0FCA" w:rsidR="00F54082" w:rsidRPr="000D3F00" w:rsidRDefault="00F54082" w:rsidP="00237813">
      <w:pPr>
        <w:pStyle w:val="Heading2"/>
      </w:pPr>
      <w:r w:rsidRPr="000D3F00">
        <w:t>3.3</w:t>
      </w:r>
      <w:r w:rsidR="000D3F00">
        <w:t>.</w:t>
      </w:r>
      <w:r w:rsidRPr="000D3F00">
        <w:t xml:space="preserve"> AMOSTRA COLETADA</w:t>
      </w:r>
    </w:p>
    <w:p w14:paraId="68A06A9F" w14:textId="44AC6654" w:rsidR="00F54082" w:rsidRDefault="00F54082" w:rsidP="00F54082">
      <w:pPr>
        <w:jc w:val="both"/>
      </w:pPr>
      <w:r>
        <w:t xml:space="preserve">Ao todo </w:t>
      </w:r>
      <w:r w:rsidR="00FF09E1">
        <w:t xml:space="preserve">5.552 painelistas responderam à pesquisa de um total de </w:t>
      </w:r>
      <w:r w:rsidR="00006A58" w:rsidRPr="00006A58">
        <w:t xml:space="preserve">16.427 </w:t>
      </w:r>
      <w:r w:rsidR="00FF09E1">
        <w:t>painelistas contatados.</w:t>
      </w:r>
    </w:p>
    <w:p w14:paraId="661EF925" w14:textId="3421924B" w:rsidR="00EB56D5" w:rsidRPr="000D3F00" w:rsidRDefault="007120CA" w:rsidP="00237813">
      <w:pPr>
        <w:pStyle w:val="Heading1"/>
      </w:pPr>
      <w:r w:rsidRPr="000D3F00">
        <w:t>4</w:t>
      </w:r>
      <w:r w:rsidR="000D3F00">
        <w:t>.</w:t>
      </w:r>
      <w:r w:rsidR="00EB56D5" w:rsidRPr="000D3F00">
        <w:t xml:space="preserve"> PROCESSAMENTO DE DADOS</w:t>
      </w:r>
    </w:p>
    <w:p w14:paraId="4D48F960" w14:textId="40F28B89" w:rsidR="00EB56D5" w:rsidRPr="00201837" w:rsidRDefault="007120CA" w:rsidP="00237813">
      <w:pPr>
        <w:pStyle w:val="Heading2"/>
      </w:pPr>
      <w:r w:rsidRPr="00201837">
        <w:t>4</w:t>
      </w:r>
      <w:r w:rsidR="00EB56D5" w:rsidRPr="00201837">
        <w:t>.1</w:t>
      </w:r>
      <w:r w:rsidR="00201837" w:rsidRPr="00201837">
        <w:t>.</w:t>
      </w:r>
      <w:r w:rsidR="00EB56D5" w:rsidRPr="00201837">
        <w:t xml:space="preserve"> PROCEDIMENTOS DE PONDERAÇÃO</w:t>
      </w:r>
    </w:p>
    <w:p w14:paraId="652FC327" w14:textId="3BEC8DD4" w:rsidR="00EB56D5" w:rsidRDefault="00EB56D5" w:rsidP="00EB56D5">
      <w:pPr>
        <w:jc w:val="both"/>
      </w:pPr>
      <w:r>
        <w:t>Para o</w:t>
      </w:r>
      <w:r w:rsidR="009879B0">
        <w:t xml:space="preserve"> </w:t>
      </w:r>
      <w:r w:rsidR="00237813">
        <w:t>Painel TIC COVID</w:t>
      </w:r>
      <w:r w:rsidR="00237813">
        <w:noBreakHyphen/>
        <w:t>19 – 4ª Edição</w:t>
      </w:r>
      <w:r>
        <w:t xml:space="preserve"> </w:t>
      </w:r>
      <w:r w:rsidR="0057315E">
        <w:t>foi</w:t>
      </w:r>
      <w:r>
        <w:t xml:space="preserve"> utilizada como referência primária a pesquisa TIC Domicílios</w:t>
      </w:r>
      <w:r w:rsidR="0057315E">
        <w:t xml:space="preserve"> 2020</w:t>
      </w:r>
      <w:r>
        <w:t xml:space="preserve">. Adicionalmente, os </w:t>
      </w:r>
      <w:r w:rsidRPr="00060744">
        <w:t xml:space="preserve">resultados da </w:t>
      </w:r>
      <w:r w:rsidRPr="00112285">
        <w:t xml:space="preserve">TIC Domicílios </w:t>
      </w:r>
      <w:r w:rsidR="0057315E">
        <w:t>foram</w:t>
      </w:r>
      <w:r w:rsidRPr="00112285">
        <w:t xml:space="preserve"> </w:t>
      </w:r>
      <w:r w:rsidR="009879B0">
        <w:t>atualizados</w:t>
      </w:r>
      <w:r w:rsidRPr="00060744">
        <w:t xml:space="preserve"> para a</w:t>
      </w:r>
      <w:r w:rsidRPr="004F3930">
        <w:t xml:space="preserve"> população da</w:t>
      </w:r>
      <w:r w:rsidRPr="00060744">
        <w:t xml:space="preserve"> </w:t>
      </w:r>
      <w:r w:rsidRPr="00B92158">
        <w:t>Pesquisa Nacional por Amostra de Domicílios (Pnad) Contínua</w:t>
      </w:r>
      <w:r>
        <w:t xml:space="preserve">, </w:t>
      </w:r>
      <w:r w:rsidRPr="00112285">
        <w:t xml:space="preserve">do </w:t>
      </w:r>
      <w:r w:rsidRPr="00B92158">
        <w:t xml:space="preserve">Instituto Brasileiro de Geografia e Estatística </w:t>
      </w:r>
      <w:r>
        <w:t>(</w:t>
      </w:r>
      <w:r w:rsidRPr="00112285">
        <w:t>IBGE</w:t>
      </w:r>
      <w:r>
        <w:t>),</w:t>
      </w:r>
      <w:r w:rsidRPr="00112285">
        <w:t xml:space="preserve"> referente</w:t>
      </w:r>
      <w:r>
        <w:t xml:space="preserve"> ao </w:t>
      </w:r>
      <w:r w:rsidR="0057315E">
        <w:t>segundo</w:t>
      </w:r>
      <w:r>
        <w:t xml:space="preserve"> trimestre </w:t>
      </w:r>
      <w:r w:rsidR="0057315E">
        <w:t>de 2021</w:t>
      </w:r>
      <w:r>
        <w:t xml:space="preserve">. O processo de ponderação dos respondentes do </w:t>
      </w:r>
      <w:r w:rsidR="00237813">
        <w:t>Painel TIC COVID</w:t>
      </w:r>
      <w:r w:rsidR="00237813">
        <w:noBreakHyphen/>
        <w:t>19 – 4ª Edição</w:t>
      </w:r>
      <w:r>
        <w:t xml:space="preserve"> </w:t>
      </w:r>
      <w:r w:rsidR="006E4906">
        <w:t>é</w:t>
      </w:r>
      <w:r>
        <w:t xml:space="preserve"> dividido em duas etapas:</w:t>
      </w:r>
    </w:p>
    <w:p w14:paraId="745E9D9C" w14:textId="7CD607CC" w:rsidR="00EB56D5" w:rsidRDefault="00EB56D5" w:rsidP="00EB56D5">
      <w:pPr>
        <w:pStyle w:val="ListParagraph"/>
        <w:numPr>
          <w:ilvl w:val="0"/>
          <w:numId w:val="7"/>
        </w:numPr>
        <w:spacing w:after="160" w:line="259" w:lineRule="auto"/>
        <w:jc w:val="both"/>
      </w:pPr>
      <w:r>
        <w:t xml:space="preserve">Estimação do contingente total de usuários de Internet de 16 anos ou mais de idade no Brasil na data de referência da pesquisa que são representados pelos respondentes do </w:t>
      </w:r>
      <w:r w:rsidR="00237813">
        <w:t>Painel TIC COVID</w:t>
      </w:r>
      <w:r w:rsidR="00237813">
        <w:noBreakHyphen/>
        <w:t>19 – 4ª Edição</w:t>
      </w:r>
      <w:r>
        <w:t>;</w:t>
      </w:r>
    </w:p>
    <w:p w14:paraId="6CD15FD5" w14:textId="31735BF3" w:rsidR="00EB56D5" w:rsidRDefault="00EB56D5" w:rsidP="00EB56D5">
      <w:pPr>
        <w:pStyle w:val="ListParagraph"/>
        <w:numPr>
          <w:ilvl w:val="0"/>
          <w:numId w:val="7"/>
        </w:numPr>
        <w:spacing w:after="160" w:line="259" w:lineRule="auto"/>
        <w:jc w:val="both"/>
      </w:pPr>
      <w:r>
        <w:t xml:space="preserve">Estimação de </w:t>
      </w:r>
      <w:r w:rsidRPr="00296A71">
        <w:rPr>
          <w:iCs/>
          <w:noProof/>
        </w:rPr>
        <w:t>pseudoprobabilidades</w:t>
      </w:r>
      <w:r>
        <w:t xml:space="preserve"> de seleção desses respondentes para ponderação do </w:t>
      </w:r>
      <w:r w:rsidR="00237813">
        <w:t>Painel TIC COVID</w:t>
      </w:r>
      <w:r w:rsidR="00237813">
        <w:noBreakHyphen/>
        <w:t>19 – 4ª Edição</w:t>
      </w:r>
      <w:r>
        <w:t>.</w:t>
      </w:r>
    </w:p>
    <w:p w14:paraId="06B28059" w14:textId="4C8E3BE0" w:rsidR="00EB56D5" w:rsidRPr="000D3F00" w:rsidRDefault="007120CA" w:rsidP="000D3F00">
      <w:pPr>
        <w:pStyle w:val="Heading3"/>
      </w:pPr>
      <w:r w:rsidRPr="000D3F00">
        <w:t>4</w:t>
      </w:r>
      <w:r w:rsidR="00EB56D5" w:rsidRPr="000D3F00">
        <w:t>.1.1</w:t>
      </w:r>
      <w:r w:rsidR="000D3F00">
        <w:t>.</w:t>
      </w:r>
      <w:r w:rsidR="00EB56D5" w:rsidRPr="000D3F00">
        <w:t xml:space="preserve"> ETAPA 1 - Estimação do contingente de usuários de Internet representados no </w:t>
      </w:r>
      <w:r w:rsidR="009C304C" w:rsidRPr="000D3F00">
        <w:t xml:space="preserve">Painel TIC </w:t>
      </w:r>
      <w:r w:rsidR="00241707" w:rsidRPr="000D3F00">
        <w:t>– 4ª</w:t>
      </w:r>
      <w:r w:rsidR="009C304C" w:rsidRPr="000D3F00">
        <w:t xml:space="preserve"> Edição</w:t>
      </w:r>
    </w:p>
    <w:p w14:paraId="08F29B92" w14:textId="2C8EB191" w:rsidR="00EB56D5" w:rsidRDefault="00EB56D5" w:rsidP="00EB56D5">
      <w:pPr>
        <w:jc w:val="both"/>
      </w:pPr>
      <w:r>
        <w:t>A pesquisa TIC Domicílios</w:t>
      </w:r>
      <w:r w:rsidR="004439B3">
        <w:t xml:space="preserve"> </w:t>
      </w:r>
      <w:r w:rsidR="0057315E">
        <w:t>2020</w:t>
      </w:r>
      <w:r>
        <w:t>, a partir de uma abordagem probabilística tradicional, permite estimar o total de brasileiros de 10 anos ou mais de idade que são usuários de Internet</w:t>
      </w:r>
      <w:r>
        <w:rPr>
          <w:rStyle w:val="FootnoteReference"/>
        </w:rPr>
        <w:footnoteReference w:id="1"/>
      </w:r>
      <w:r>
        <w:t xml:space="preserve">. Já o </w:t>
      </w:r>
      <w:r w:rsidR="00237813">
        <w:t>Painel TIC COVID</w:t>
      </w:r>
      <w:r w:rsidR="00237813">
        <w:noBreakHyphen/>
        <w:t>19 – 4ª Edição</w:t>
      </w:r>
      <w:r>
        <w:t xml:space="preserve"> conta com respondentes de 16 anos ou mais que são usuários de Internet, segundo parâmetros adotados internacionalmente (UIT, 2014). Para que as duas amostras </w:t>
      </w:r>
      <w:r w:rsidR="004439B3">
        <w:t>sejam</w:t>
      </w:r>
      <w:r>
        <w:t xml:space="preserve"> comparáveis, </w:t>
      </w:r>
      <w:r w:rsidR="004439B3">
        <w:t>são</w:t>
      </w:r>
      <w:r>
        <w:t xml:space="preserve"> filtrados os resultados da TIC Domicílios referentes a mesma faixa etária, aqueles usuários de Internet de 16 anos ou mais. </w:t>
      </w:r>
    </w:p>
    <w:p w14:paraId="5E46DD38" w14:textId="1F4E4788" w:rsidR="00EB56D5" w:rsidRDefault="00EB56D5" w:rsidP="00EB56D5">
      <w:pPr>
        <w:jc w:val="both"/>
      </w:pPr>
      <w:r>
        <w:t xml:space="preserve">Uma vez que a construção do conjunto de respondentes do </w:t>
      </w:r>
      <w:r w:rsidR="00237813">
        <w:t>Painel TIC COVID</w:t>
      </w:r>
      <w:r w:rsidR="00237813">
        <w:noBreakHyphen/>
        <w:t>19 – 4ª Edição</w:t>
      </w:r>
      <w:r>
        <w:t xml:space="preserve"> não é feita de forma probabilística, não é possível considerá-lo </w:t>
      </w:r>
      <w:r w:rsidRPr="00795CBD">
        <w:rPr>
          <w:i/>
        </w:rPr>
        <w:t>a priori</w:t>
      </w:r>
      <w:r>
        <w:t xml:space="preserve"> como representativo do conjunto da população de usuários de Internet de 16 ou mais anos de idade. Para estimar o contingente da população que é representada pelos respondentes do painel, adotou-se o procedimento de estimação baseado em escores de propensão (</w:t>
      </w:r>
      <w:r w:rsidRPr="002A796F">
        <w:rPr>
          <w:i/>
          <w:iCs/>
          <w:lang w:val="en-US"/>
        </w:rPr>
        <w:t>propensity scores</w:t>
      </w:r>
      <w:r>
        <w:t xml:space="preserve">). Nessa metodologia </w:t>
      </w:r>
      <w:r w:rsidRPr="00A834F4">
        <w:t>são</w:t>
      </w:r>
      <w:r>
        <w:t xml:space="preserve"> calculados, inicialmente, os escores de propensão de ser usuário de Internet segundo variáveis socioeconômicas com base na pesquisa probabilística </w:t>
      </w:r>
      <w:r w:rsidR="004439B3">
        <w:t xml:space="preserve">TIC Domicílios </w:t>
      </w:r>
      <w:r w:rsidR="00A163BB">
        <w:t>2020</w:t>
      </w:r>
      <w:r>
        <w:t xml:space="preserve">. A seguir, esse mesmo modelo é então utilizado para estimar os escores de propensão para os respondentes do </w:t>
      </w:r>
      <w:r w:rsidR="00237813">
        <w:t>Painel TIC COVID</w:t>
      </w:r>
      <w:r w:rsidR="00237813">
        <w:noBreakHyphen/>
        <w:t>19 – 4ª Edição</w:t>
      </w:r>
      <w:r>
        <w:t xml:space="preserve">. </w:t>
      </w:r>
    </w:p>
    <w:p w14:paraId="5FA19B7D" w14:textId="3998356B" w:rsidR="00EB56D5" w:rsidRDefault="00EB56D5" w:rsidP="00EB56D5">
      <w:pPr>
        <w:jc w:val="both"/>
      </w:pPr>
      <w:r>
        <w:lastRenderedPageBreak/>
        <w:t xml:space="preserve">Comparando a distribuição dos escores de propensão do </w:t>
      </w:r>
      <w:r w:rsidR="00237813">
        <w:t>Painel TIC COVID</w:t>
      </w:r>
      <w:r w:rsidR="00237813">
        <w:noBreakHyphen/>
        <w:t>19 – 4ª Edição</w:t>
      </w:r>
      <w:r>
        <w:t xml:space="preserve"> com a verificada na pesquisa TIC Domicílios </w:t>
      </w:r>
      <w:r w:rsidR="00A163BB">
        <w:t>2020 foi</w:t>
      </w:r>
      <w:r>
        <w:t xml:space="preserve"> possível determinar qual parte (ou se toda) a população da pesquisa </w:t>
      </w:r>
      <w:r w:rsidR="004439B3">
        <w:t>TIC Domicílios</w:t>
      </w:r>
      <w:r>
        <w:t xml:space="preserve"> </w:t>
      </w:r>
      <w:r w:rsidR="00A163BB">
        <w:t xml:space="preserve">2020 </w:t>
      </w:r>
      <w:r>
        <w:t xml:space="preserve">pode ser considerada representada pelos respondentes do painel. Isso equivale a estimar o erro de cobertura do </w:t>
      </w:r>
      <w:r w:rsidR="00237813">
        <w:t>Painel TIC COVID</w:t>
      </w:r>
      <w:r w:rsidR="00237813">
        <w:noBreakHyphen/>
        <w:t>19 – 4ª Edição</w:t>
      </w:r>
      <w:r w:rsidR="004439B3">
        <w:t xml:space="preserve"> </w:t>
      </w:r>
      <w:r>
        <w:t xml:space="preserve">em relação à população-alvo inicialmente considerada para a pesquisa. </w:t>
      </w:r>
    </w:p>
    <w:p w14:paraId="55D6E4B3" w14:textId="21A0BBBD" w:rsidR="00EB56D5" w:rsidRDefault="00EB56D5" w:rsidP="00EB56D5">
      <w:pPr>
        <w:jc w:val="both"/>
      </w:pPr>
      <w:r>
        <w:t xml:space="preserve">A partir dessa comparação é estabelecido um ponto de corte que determina, na base da </w:t>
      </w:r>
      <w:r w:rsidR="004439B3">
        <w:t xml:space="preserve">última </w:t>
      </w:r>
      <w:r>
        <w:t>pesquisa TIC</w:t>
      </w:r>
      <w:r w:rsidR="00237813">
        <w:t> </w:t>
      </w:r>
      <w:r>
        <w:t xml:space="preserve">Domicílios, o conjunto de unidades investigadas cujos escores de propensão parecem bem representados pelos respondentes do </w:t>
      </w:r>
      <w:r w:rsidR="00237813">
        <w:t>Painel TIC COVID</w:t>
      </w:r>
      <w:r w:rsidR="00237813">
        <w:noBreakHyphen/>
        <w:t>19 – 4ª Edição</w:t>
      </w:r>
      <w:r>
        <w:t xml:space="preserve">. </w:t>
      </w:r>
    </w:p>
    <w:p w14:paraId="30107C26" w14:textId="2B0A18BE" w:rsidR="00EB56D5" w:rsidRDefault="00EB56D5" w:rsidP="00EB56D5">
      <w:pPr>
        <w:jc w:val="both"/>
      </w:pPr>
      <w:r>
        <w:t>Esse procedimento te</w:t>
      </w:r>
      <w:r w:rsidR="00A163BB">
        <w:t>ve</w:t>
      </w:r>
      <w:r>
        <w:t xml:space="preserve"> por objetivo determinar a população que é representada pelo </w:t>
      </w:r>
      <w:r w:rsidR="00237813">
        <w:t>Painel TIC COVID</w:t>
      </w:r>
      <w:r w:rsidR="00237813">
        <w:noBreakHyphen/>
        <w:t>19 – 4ª Edição</w:t>
      </w:r>
      <w:r w:rsidR="0062447A">
        <w:t xml:space="preserve"> </w:t>
      </w:r>
      <w:r>
        <w:t xml:space="preserve">e considerar, para efeitos de comparação de resultados, essa mesma população entre os usuários de Internet na </w:t>
      </w:r>
      <w:r w:rsidR="0062447A">
        <w:t xml:space="preserve">última </w:t>
      </w:r>
      <w:r>
        <w:t>pesquisa TIC Domicílios</w:t>
      </w:r>
      <w:r w:rsidR="00A163BB">
        <w:t xml:space="preserve"> 2020</w:t>
      </w:r>
      <w:r>
        <w:t>.</w:t>
      </w:r>
    </w:p>
    <w:p w14:paraId="03777E79" w14:textId="58DAEF4C" w:rsidR="00EB56D5" w:rsidRDefault="00EB56D5" w:rsidP="00EB56D5">
      <w:pPr>
        <w:jc w:val="both"/>
      </w:pPr>
      <w:r>
        <w:t>O processo de determinação dessa população segu</w:t>
      </w:r>
      <w:r w:rsidR="009750FB">
        <w:t>iu</w:t>
      </w:r>
      <w:r>
        <w:t xml:space="preserve"> quatro passos:</w:t>
      </w:r>
    </w:p>
    <w:p w14:paraId="1A3B9212" w14:textId="4B8E4C18" w:rsidR="00EB56D5" w:rsidRDefault="00EB56D5" w:rsidP="00EB56D5">
      <w:pPr>
        <w:pStyle w:val="ListParagraph"/>
        <w:numPr>
          <w:ilvl w:val="0"/>
          <w:numId w:val="3"/>
        </w:numPr>
        <w:spacing w:after="160" w:line="259" w:lineRule="auto"/>
        <w:jc w:val="both"/>
      </w:pPr>
      <w:r>
        <w:t xml:space="preserve">Atualização de totais de população da pesquisa TIC Domicílios </w:t>
      </w:r>
      <w:r w:rsidR="009750FB">
        <w:t xml:space="preserve">2020 </w:t>
      </w:r>
      <w:r>
        <w:t xml:space="preserve">para </w:t>
      </w:r>
      <w:r w:rsidR="007A09F7">
        <w:t>totais do</w:t>
      </w:r>
      <w:r>
        <w:t xml:space="preserve"> </w:t>
      </w:r>
      <w:r w:rsidR="009750FB">
        <w:t>segundo</w:t>
      </w:r>
      <w:r w:rsidR="007A09F7">
        <w:t xml:space="preserve"> </w:t>
      </w:r>
      <w:r>
        <w:t>trimestre</w:t>
      </w:r>
      <w:r w:rsidR="009750FB">
        <w:t xml:space="preserve"> de 2021</w:t>
      </w:r>
      <w:r>
        <w:t xml:space="preserve"> </w:t>
      </w:r>
      <w:r w:rsidR="009750FB">
        <w:t>da</w:t>
      </w:r>
      <w:r w:rsidRPr="00060744">
        <w:t xml:space="preserve"> </w:t>
      </w:r>
      <w:r w:rsidR="007A09F7">
        <w:t xml:space="preserve">pesquisa </w:t>
      </w:r>
      <w:r w:rsidRPr="00060744">
        <w:t>P</w:t>
      </w:r>
      <w:r>
        <w:t>nad</w:t>
      </w:r>
      <w:r w:rsidRPr="00112285">
        <w:t xml:space="preserve"> Contínua</w:t>
      </w:r>
      <w:r w:rsidR="007A09F7">
        <w:t xml:space="preserve"> realizada</w:t>
      </w:r>
      <w:r>
        <w:t xml:space="preserve"> pelo IBGE;</w:t>
      </w:r>
    </w:p>
    <w:p w14:paraId="7A5F7329" w14:textId="41A59618" w:rsidR="00EB56D5" w:rsidRDefault="00EB56D5" w:rsidP="00EB56D5">
      <w:pPr>
        <w:pStyle w:val="ListParagraph"/>
        <w:numPr>
          <w:ilvl w:val="0"/>
          <w:numId w:val="3"/>
        </w:numPr>
        <w:spacing w:after="160" w:line="259" w:lineRule="auto"/>
        <w:jc w:val="both"/>
      </w:pPr>
      <w:r>
        <w:t xml:space="preserve">Ajuste de modelo de regressão logística tendo a variável “usuário de Internet” como variável resposta e um conjunto de variáveis socioeconômicas comuns a essa pesquisa e ao </w:t>
      </w:r>
      <w:r w:rsidR="00237813">
        <w:t>Painel TIC COVID</w:t>
      </w:r>
      <w:r w:rsidR="00237813">
        <w:noBreakHyphen/>
        <w:t>19 – 4ª Edição</w:t>
      </w:r>
      <w:r>
        <w:t xml:space="preserve"> como variáveis explicativas. Esse modelo </w:t>
      </w:r>
      <w:r w:rsidR="001A569A">
        <w:t>é</w:t>
      </w:r>
      <w:r>
        <w:t xml:space="preserve"> então usado para estimar os escores de propensão a ser usuário de Internet para os respondentes da pesquisa TIC Domicílios</w:t>
      </w:r>
      <w:r w:rsidR="009750FB">
        <w:t xml:space="preserve"> 2020</w:t>
      </w:r>
      <w:r>
        <w:t>;</w:t>
      </w:r>
    </w:p>
    <w:p w14:paraId="3AD1D5B2" w14:textId="183B136E" w:rsidR="00EB56D5" w:rsidRDefault="00EB56D5" w:rsidP="00EB56D5">
      <w:pPr>
        <w:pStyle w:val="ListParagraph"/>
        <w:numPr>
          <w:ilvl w:val="0"/>
          <w:numId w:val="3"/>
        </w:numPr>
        <w:spacing w:after="160" w:line="259" w:lineRule="auto"/>
        <w:jc w:val="both"/>
      </w:pPr>
      <w:r>
        <w:t xml:space="preserve">Estimação dos escores de propensão para os respondentes da </w:t>
      </w:r>
      <w:r w:rsidR="00237813">
        <w:t>Painel TIC COVID</w:t>
      </w:r>
      <w:r w:rsidR="00237813">
        <w:noBreakHyphen/>
        <w:t>19 – 4ª Edição</w:t>
      </w:r>
      <w:r>
        <w:t xml:space="preserve"> com base no modelo ajustado com os dados da pesquisa TIC Domicílios</w:t>
      </w:r>
      <w:r w:rsidR="009750FB">
        <w:t xml:space="preserve"> 2020</w:t>
      </w:r>
      <w:r>
        <w:t>;</w:t>
      </w:r>
    </w:p>
    <w:p w14:paraId="1EFFD36D" w14:textId="1D61F299" w:rsidR="00EB56D5" w:rsidRDefault="00EB56D5" w:rsidP="00EB56D5">
      <w:pPr>
        <w:pStyle w:val="ListParagraph"/>
        <w:numPr>
          <w:ilvl w:val="0"/>
          <w:numId w:val="3"/>
        </w:numPr>
        <w:spacing w:after="160" w:line="259" w:lineRule="auto"/>
        <w:jc w:val="both"/>
      </w:pPr>
      <w:r>
        <w:t>Determinação do ponto de corte que separ</w:t>
      </w:r>
      <w:r w:rsidR="001A569A">
        <w:t>a</w:t>
      </w:r>
      <w:r>
        <w:t xml:space="preserve"> tanto na amostra da pesquisa TIC Domicílios </w:t>
      </w:r>
      <w:r w:rsidR="009750FB">
        <w:t xml:space="preserve">2020 </w:t>
      </w:r>
      <w:r>
        <w:t>como no</w:t>
      </w:r>
      <w:r w:rsidRPr="00B40612">
        <w:t xml:space="preserve"> </w:t>
      </w:r>
      <w:r w:rsidR="00237813">
        <w:t>Painel TIC COVID</w:t>
      </w:r>
      <w:r w:rsidR="00237813">
        <w:noBreakHyphen/>
        <w:t>19 – 4ª Edição</w:t>
      </w:r>
      <w:r>
        <w:t xml:space="preserve"> a parcela da população que est</w:t>
      </w:r>
      <w:r w:rsidR="009750FB">
        <w:t>á</w:t>
      </w:r>
      <w:r>
        <w:t xml:space="preserve"> representada.</w:t>
      </w:r>
    </w:p>
    <w:p w14:paraId="6733B376" w14:textId="309FC87C" w:rsidR="00EB56D5" w:rsidRPr="00201837" w:rsidRDefault="00EB56D5" w:rsidP="00201837">
      <w:pPr>
        <w:pStyle w:val="Heading4"/>
      </w:pPr>
      <w:r>
        <w:t xml:space="preserve">Passo </w:t>
      </w:r>
      <w:r w:rsidRPr="004F3930">
        <w:t xml:space="preserve">I. Atualização dos totais populacionais da pesquisa TIC Domicílios </w:t>
      </w:r>
      <w:r w:rsidR="00803C75">
        <w:t xml:space="preserve">2020 </w:t>
      </w:r>
      <w:r w:rsidRPr="004F3930">
        <w:t>para o primeiro trimestre de 202</w:t>
      </w:r>
      <w:r w:rsidR="00803C75">
        <w:t>1</w:t>
      </w:r>
    </w:p>
    <w:p w14:paraId="6B56017D" w14:textId="739654DB" w:rsidR="005D3320" w:rsidRDefault="00EB56D5" w:rsidP="00201837">
      <w:pPr>
        <w:jc w:val="both"/>
        <w:rPr>
          <w:i/>
          <w:iCs/>
        </w:rPr>
      </w:pPr>
      <w:r>
        <w:t>O objetivo desse passo foi atualizar as estimativas populacionais para a população de 10 anos ou mais de idade da pesquisa TI</w:t>
      </w:r>
      <w:r w:rsidR="009B0761">
        <w:t>C</w:t>
      </w:r>
      <w:r>
        <w:t xml:space="preserve"> Domicílios</w:t>
      </w:r>
      <w:r w:rsidR="009B0761">
        <w:t xml:space="preserve"> 2020</w:t>
      </w:r>
      <w:r>
        <w:t>, tendo como base dados divulgados pelo IBGE n</w:t>
      </w:r>
      <w:r w:rsidR="00EC1617">
        <w:t>a última PNAD Contínua</w:t>
      </w:r>
      <w:r>
        <w:t>. Os cálculos atualiza</w:t>
      </w:r>
      <w:r w:rsidR="00EC1617">
        <w:t>m</w:t>
      </w:r>
      <w:r>
        <w:t xml:space="preserve"> o total da população de 10 anos ou mais de idade a partir das estimativas informadas nos microdados da Pnad Contínua. Em seguida, e seguindo a mesma distribuição percentual dos calibradores utilizados na </w:t>
      </w:r>
      <w:r w:rsidR="00EC1617">
        <w:t xml:space="preserve">última </w:t>
      </w:r>
      <w:r>
        <w:t>pesquisa TIC Domicílios</w:t>
      </w:r>
      <w:r w:rsidR="004D097B">
        <w:t>2020</w:t>
      </w:r>
      <w:r>
        <w:t xml:space="preserve">, </w:t>
      </w:r>
      <w:r w:rsidR="00EC1617">
        <w:t>é</w:t>
      </w:r>
      <w:r>
        <w:t xml:space="preserve"> refeita a </w:t>
      </w:r>
      <w:r w:rsidR="00EC1617">
        <w:t>atualização</w:t>
      </w:r>
      <w:r>
        <w:t xml:space="preserve"> dos pesos da pesquisa segundo os novos totais das distribuições marginais das variáveis consideradas na calibração.</w:t>
      </w:r>
      <w:r>
        <w:rPr>
          <w:rStyle w:val="FootnoteReference"/>
        </w:rPr>
        <w:footnoteReference w:id="2"/>
      </w:r>
    </w:p>
    <w:p w14:paraId="4DE7F881" w14:textId="13B6B731" w:rsidR="00EB56D5" w:rsidRPr="004F3930" w:rsidRDefault="00EB56D5" w:rsidP="00201837">
      <w:pPr>
        <w:pStyle w:val="Heading4"/>
      </w:pPr>
      <w:r>
        <w:lastRenderedPageBreak/>
        <w:t xml:space="preserve">Passo </w:t>
      </w:r>
      <w:r w:rsidRPr="004F3930">
        <w:t xml:space="preserve">II. Ajuste do modelo de regressão logística para a variável “usuário de Internet” entre os respondentes de 16 ou mais anos de idade </w:t>
      </w:r>
      <w:r>
        <w:t>na</w:t>
      </w:r>
      <w:r w:rsidRPr="004F3930">
        <w:t xml:space="preserve"> TIC Domicílio</w:t>
      </w:r>
      <w:r w:rsidR="003D2142">
        <w:t>s</w:t>
      </w:r>
    </w:p>
    <w:p w14:paraId="3275F299" w14:textId="3409A6FF" w:rsidR="00EB56D5" w:rsidRDefault="00EB56D5" w:rsidP="00EB56D5">
      <w:pPr>
        <w:jc w:val="both"/>
      </w:pPr>
      <w:r>
        <w:t>Essa etapa busc</w:t>
      </w:r>
      <w:r w:rsidR="003D2142">
        <w:t>a</w:t>
      </w:r>
      <w:r>
        <w:t xml:space="preserve"> estimar com qualidade a probabilidade de um indivíduo ser usuário de Internet</w:t>
      </w:r>
      <w:r w:rsidRPr="005F26F5">
        <w:t xml:space="preserve"> </w:t>
      </w:r>
      <w:r>
        <w:t xml:space="preserve">a partir de variáveis socioeconômicas </w:t>
      </w:r>
      <w:r w:rsidRPr="002B077B">
        <w:t xml:space="preserve">observadas na </w:t>
      </w:r>
      <w:r w:rsidR="00211441">
        <w:t xml:space="preserve">última </w:t>
      </w:r>
      <w:r w:rsidRPr="002B077B">
        <w:t xml:space="preserve">pesquisa </w:t>
      </w:r>
      <w:r w:rsidRPr="004F3930">
        <w:t>TIC Domicílios</w:t>
      </w:r>
      <w:r>
        <w:t xml:space="preserve"> e</w:t>
      </w:r>
      <w:r w:rsidRPr="004F3930">
        <w:t xml:space="preserve"> que também estão disponíveis no </w:t>
      </w:r>
      <w:r w:rsidR="00237813">
        <w:t>Painel TIC COVID</w:t>
      </w:r>
      <w:r w:rsidR="00237813">
        <w:noBreakHyphen/>
        <w:t>19 – 4ª Edição</w:t>
      </w:r>
      <w:r w:rsidRPr="002B077B">
        <w:t>.</w:t>
      </w:r>
      <w:r>
        <w:t xml:space="preserve"> Com o objetivo de obter um modelo parcimonioso e que desse bons resultados na estimação de usuários de Internet foram testados diversos modelos da forma:</w:t>
      </w:r>
    </w:p>
    <w:p w14:paraId="71E8A2BB" w14:textId="77777777" w:rsidR="00EB56D5" w:rsidRPr="00AB11B6" w:rsidRDefault="00EB56D5" w:rsidP="00EB56D5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log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=1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1-P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=1</m:t>
                      </m:r>
                    </m:e>
                  </m:d>
                </m:den>
              </m:f>
            </m:e>
          </m:d>
          <m:r>
            <w:rPr>
              <w:rFonts w:ascii="Cambria Math" w:hAnsi="Cambria Math"/>
            </w:rPr>
            <m:t>=α+</m:t>
          </m:r>
          <m:r>
            <m:rPr>
              <m:nor/>
            </m:rPr>
            <w:rPr>
              <w:rFonts w:ascii="Cambria Math" w:hAnsi="Cambria Math"/>
              <w:b/>
              <w:bCs/>
            </w:rPr>
            <m:t>β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  <w:b/>
                  <w:bCs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</m:oMath>
      </m:oMathPara>
    </w:p>
    <w:p w14:paraId="04B7E742" w14:textId="77777777" w:rsidR="00EB56D5" w:rsidRDefault="00EB56D5" w:rsidP="00EB56D5">
      <w:pPr>
        <w:jc w:val="both"/>
        <w:rPr>
          <w:rFonts w:eastAsiaTheme="minorEastAsia"/>
        </w:rPr>
      </w:pPr>
      <w:r>
        <w:rPr>
          <w:rFonts w:eastAsiaTheme="minorEastAsia"/>
        </w:rPr>
        <w:t>Onde:</w:t>
      </w:r>
    </w:p>
    <w:p w14:paraId="1E2F8441" w14:textId="003B0E7C" w:rsidR="00EB56D5" w:rsidRDefault="00237813" w:rsidP="000D3F00">
      <w:pPr>
        <w:spacing w:after="0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EB56D5">
        <w:rPr>
          <w:rFonts w:eastAsiaTheme="minorEastAsia"/>
        </w:rPr>
        <w:t xml:space="preserve"> é uma variável indicadora, tomando valor 1 se o indivíduo </w:t>
      </w:r>
      <w:r w:rsidR="00EB56D5">
        <w:rPr>
          <w:rFonts w:eastAsiaTheme="minorEastAsia"/>
          <w:i/>
          <w:iCs/>
        </w:rPr>
        <w:t>i</w:t>
      </w:r>
      <w:r w:rsidR="00EB56D5">
        <w:rPr>
          <w:rFonts w:eastAsiaTheme="minorEastAsia"/>
        </w:rPr>
        <w:t xml:space="preserve"> é usuário de Internet, e valor 0</w:t>
      </w:r>
      <w:r w:rsidR="00352479">
        <w:rPr>
          <w:rFonts w:eastAsiaTheme="minorEastAsia"/>
        </w:rPr>
        <w:t>,</w:t>
      </w:r>
      <w:r w:rsidR="00EB56D5">
        <w:rPr>
          <w:rFonts w:eastAsiaTheme="minorEastAsia"/>
        </w:rPr>
        <w:t xml:space="preserve"> caso contrário; </w:t>
      </w:r>
    </w:p>
    <w:p w14:paraId="1FF16AB6" w14:textId="77777777" w:rsidR="00EB56D5" w:rsidRDefault="00237813" w:rsidP="000D3F00">
      <w:pPr>
        <w:spacing w:after="0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EB56D5">
        <w:rPr>
          <w:rFonts w:eastAsiaTheme="minorEastAsia"/>
        </w:rPr>
        <w:t xml:space="preserve"> é um vetor com os valores de variáveis explicativas (sexo, faixa etária, escolaridade etc.) do indivíduo </w:t>
      </w:r>
      <w:r w:rsidR="00EB56D5" w:rsidRPr="000E2336">
        <w:rPr>
          <w:rFonts w:ascii="Cambria" w:eastAsiaTheme="minorEastAsia" w:hAnsi="Cambria"/>
          <w:i/>
          <w:iCs/>
        </w:rPr>
        <w:t>i</w:t>
      </w:r>
      <w:r w:rsidR="00EB56D5">
        <w:rPr>
          <w:rFonts w:eastAsiaTheme="minorEastAsia"/>
        </w:rPr>
        <w:t>,</w:t>
      </w:r>
    </w:p>
    <w:p w14:paraId="0B978B55" w14:textId="77777777" w:rsidR="00EB56D5" w:rsidRDefault="00EB56D5" w:rsidP="000D3F00">
      <w:pPr>
        <w:spacing w:after="0"/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=1</m:t>
            </m:r>
          </m:e>
        </m:d>
      </m:oMath>
      <w:r>
        <w:rPr>
          <w:rFonts w:eastAsiaTheme="minorEastAsia"/>
        </w:rPr>
        <w:t xml:space="preserve"> representa a probabilidade do indivíduo ser usuário de Internet, e </w:t>
      </w:r>
    </w:p>
    <w:p w14:paraId="4FC8ECBB" w14:textId="77777777" w:rsidR="00EB56D5" w:rsidRPr="000E2336" w:rsidRDefault="00EB56D5" w:rsidP="00EB56D5">
      <w:pPr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>α</m:t>
        </m:r>
      </m:oMath>
      <w:r>
        <w:rPr>
          <w:rFonts w:eastAsiaTheme="minorEastAsia"/>
        </w:rPr>
        <w:t xml:space="preserve"> </w:t>
      </w:r>
      <w:r w:rsidRPr="00691F36">
        <w:rPr>
          <w:rFonts w:eastAsiaTheme="minorEastAsia"/>
        </w:rPr>
        <w:t>e</w:t>
      </w:r>
      <w:r>
        <w:rPr>
          <w:rFonts w:eastAsiaTheme="minorEastAsia"/>
        </w:rPr>
        <w:t xml:space="preserve"> </w:t>
      </w:r>
      <m:oMath>
        <m:r>
          <m:rPr>
            <m:sty m:val="b"/>
          </m:rPr>
          <w:rPr>
            <w:rFonts w:ascii="Cambria Math" w:hAnsi="Cambria Math"/>
          </w:rPr>
          <m:t>β</m:t>
        </m:r>
      </m:oMath>
      <w:r>
        <w:rPr>
          <w:rFonts w:eastAsiaTheme="minorEastAsia"/>
          <w:b/>
          <w:bCs/>
          <w:iCs/>
        </w:rPr>
        <w:t xml:space="preserve"> </w:t>
      </w:r>
      <w:r>
        <w:rPr>
          <w:rFonts w:eastAsiaTheme="minorEastAsia"/>
          <w:iCs/>
        </w:rPr>
        <w:t>são parâmetros do modelo, a serem estimados.</w:t>
      </w:r>
    </w:p>
    <w:p w14:paraId="6A2EAC41" w14:textId="77777777" w:rsidR="00EB56D5" w:rsidRDefault="00EB56D5" w:rsidP="00EB56D5">
      <w:pPr>
        <w:jc w:val="both"/>
        <w:rPr>
          <w:rFonts w:eastAsiaTheme="minorEastAsia"/>
        </w:rPr>
      </w:pPr>
      <w:r>
        <w:t xml:space="preserve">As estimativas para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=1</m:t>
            </m:r>
          </m:e>
        </m:d>
      </m:oMath>
      <w:r>
        <w:rPr>
          <w:rFonts w:eastAsiaTheme="minorEastAsia"/>
        </w:rPr>
        <w:t xml:space="preserve"> fornecidas pela expressão</w:t>
      </w:r>
    </w:p>
    <w:p w14:paraId="1B933027" w14:textId="77777777" w:rsidR="00EB56D5" w:rsidRPr="0080203E" w:rsidRDefault="00237813" w:rsidP="00EB56D5">
      <w:pPr>
        <w:jc w:val="both"/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P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=1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</m:acc>
                  <m:r>
                    <w:rPr>
                      <w:rFonts w:ascii="Cambria Math" w:hAnsi="Cambria Math"/>
                    </w:rPr>
                    <m:t>+</m:t>
                  </m:r>
                  <m:acc>
                    <m:acc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</w:rPr>
                      </m:ctrlPr>
                    </m:acc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β</m:t>
                      </m:r>
                    </m:e>
                  </m:acc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</m:sSubSup>
                </m:e>
              </m:d>
            </m:num>
            <m:den>
              <m:r>
                <w:rPr>
                  <w:rFonts w:ascii="Cambria Math" w:hAnsi="Cambria Math"/>
                </w:rPr>
                <m:t>1+exp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</m:acc>
                  <m:r>
                    <w:rPr>
                      <w:rFonts w:ascii="Cambria Math" w:hAnsi="Cambria Math"/>
                    </w:rPr>
                    <m:t>+</m:t>
                  </m:r>
                  <m:acc>
                    <m:acc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</w:rPr>
                      </m:ctrlPr>
                    </m:acc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β</m:t>
                      </m:r>
                    </m:e>
                  </m:acc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</m:sSubSup>
                </m:e>
              </m:d>
            </m:den>
          </m:f>
        </m:oMath>
      </m:oMathPara>
    </w:p>
    <w:p w14:paraId="78AB0947" w14:textId="77777777" w:rsidR="00EB56D5" w:rsidRDefault="00EB56D5" w:rsidP="00EB56D5">
      <w:pPr>
        <w:jc w:val="both"/>
      </w:pPr>
      <w:r>
        <w:rPr>
          <w:rFonts w:eastAsiaTheme="minorEastAsia"/>
        </w:rPr>
        <w:t xml:space="preserve">são os chamados escores de propensão considerados na metodologia, sendo que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α</m:t>
            </m:r>
          </m:e>
        </m:acc>
      </m:oMath>
      <w:r>
        <w:rPr>
          <w:rFonts w:eastAsiaTheme="minorEastAsia"/>
        </w:rPr>
        <w:t xml:space="preserve"> </w:t>
      </w:r>
      <w:r w:rsidRPr="00691F36">
        <w:rPr>
          <w:rFonts w:eastAsiaTheme="minorEastAsia"/>
        </w:rPr>
        <w:t>e</w:t>
      </w:r>
      <w:r>
        <w:rPr>
          <w:rFonts w:eastAsiaTheme="minorEastAsia"/>
        </w:rPr>
        <w:t xml:space="preserve"> </w:t>
      </w:r>
      <m:oMath>
        <m:acc>
          <m:accPr>
            <m:ctrlPr>
              <w:rPr>
                <w:rFonts w:ascii="Cambria Math" w:hAnsi="Cambria Math"/>
                <w:b/>
                <w:bCs/>
                <w:iCs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β</m:t>
            </m:r>
          </m:e>
        </m:acc>
      </m:oMath>
      <w:r>
        <w:rPr>
          <w:rFonts w:eastAsiaTheme="minorEastAsia"/>
          <w:b/>
          <w:bCs/>
          <w:iCs/>
        </w:rPr>
        <w:t xml:space="preserve"> </w:t>
      </w:r>
      <w:r>
        <w:rPr>
          <w:rFonts w:eastAsiaTheme="minorEastAsia"/>
          <w:iCs/>
        </w:rPr>
        <w:t>são as estimativas dos parâmetros obtidas com base no modelo ajustado.</w:t>
      </w:r>
    </w:p>
    <w:p w14:paraId="548FE313" w14:textId="65304B5F" w:rsidR="00EB56D5" w:rsidRDefault="00EB56D5" w:rsidP="00EB56D5">
      <w:pPr>
        <w:jc w:val="both"/>
      </w:pPr>
      <w:r>
        <w:t>O modelo ajustado utiliz</w:t>
      </w:r>
      <w:r w:rsidR="00211441">
        <w:t>a</w:t>
      </w:r>
      <w:r>
        <w:t xml:space="preserve"> como opções de variáveis independentes (</w:t>
      </w:r>
      <m:oMath>
        <m:r>
          <m:rPr>
            <m:nor/>
          </m:rPr>
          <w:rPr>
            <w:rFonts w:ascii="Cambria Math" w:hAnsi="Cambria Math"/>
            <w:b/>
            <w:bCs/>
          </w:rPr>
          <m:t>X</m:t>
        </m:r>
      </m:oMath>
      <w:r>
        <w:t>) apenas informações que est</w:t>
      </w:r>
      <w:r w:rsidR="00211441">
        <w:t>ejam</w:t>
      </w:r>
      <w:r>
        <w:t xml:space="preserve"> presentes em ambas as fontes: TIC Domicílios e </w:t>
      </w:r>
      <w:r w:rsidR="00237813">
        <w:t>Painel TIC COVID</w:t>
      </w:r>
      <w:r w:rsidR="00237813">
        <w:noBreakHyphen/>
        <w:t>19 – 4ª Edição</w:t>
      </w:r>
      <w:r>
        <w:t xml:space="preserve">. O modelo </w:t>
      </w:r>
      <w:r w:rsidRPr="004F3930">
        <w:t>final</w:t>
      </w:r>
      <w:r>
        <w:t xml:space="preserve"> mais parcimonioso e com grande grau de acerto na previsão de quais indivíduos </w:t>
      </w:r>
      <w:r w:rsidR="00211441">
        <w:t>são</w:t>
      </w:r>
      <w:r>
        <w:t xml:space="preserve"> usuários da Internet incluiu as seguintes variáveis: </w:t>
      </w:r>
      <w:r w:rsidRPr="00B458E9">
        <w:t xml:space="preserve">sexo, </w:t>
      </w:r>
      <w:r w:rsidR="003166E2">
        <w:t>idade</w:t>
      </w:r>
      <w:r w:rsidRPr="00B458E9">
        <w:t>, grau de instrução, classe social</w:t>
      </w:r>
      <w:r>
        <w:t xml:space="preserve"> e</w:t>
      </w:r>
      <w:r w:rsidRPr="00B458E9">
        <w:t xml:space="preserve"> indicador de uso </w:t>
      </w:r>
      <w:r w:rsidR="003166E2">
        <w:t>de Internet no</w:t>
      </w:r>
      <w:r w:rsidRPr="00B458E9">
        <w:t xml:space="preserve"> computador</w:t>
      </w:r>
      <w:r>
        <w:rPr>
          <w:rStyle w:val="FootnoteReference"/>
        </w:rPr>
        <w:footnoteReference w:id="3"/>
      </w:r>
      <w:r>
        <w:t>. A Tabela 1 apresenta os resultados de ajuste.</w:t>
      </w:r>
    </w:p>
    <w:p w14:paraId="725E5619" w14:textId="77777777" w:rsidR="00515038" w:rsidRDefault="00515038">
      <w:pPr>
        <w:rPr>
          <w:b/>
        </w:rPr>
      </w:pPr>
      <w:r>
        <w:rPr>
          <w:b/>
        </w:rPr>
        <w:br w:type="page"/>
      </w:r>
    </w:p>
    <w:p w14:paraId="2F073A87" w14:textId="5C097870" w:rsidR="00EB56D5" w:rsidRPr="00795CBD" w:rsidRDefault="00EB56D5" w:rsidP="00EB56D5">
      <w:pPr>
        <w:keepNext/>
        <w:spacing w:after="0" w:line="240" w:lineRule="auto"/>
        <w:jc w:val="both"/>
        <w:rPr>
          <w:b/>
        </w:rPr>
      </w:pPr>
      <w:r w:rsidRPr="00795CBD">
        <w:rPr>
          <w:b/>
        </w:rPr>
        <w:lastRenderedPageBreak/>
        <w:t>TABELA 1</w:t>
      </w:r>
    </w:p>
    <w:p w14:paraId="435D12BA" w14:textId="77777777" w:rsidR="00EB56D5" w:rsidRPr="00795CBD" w:rsidRDefault="00EB56D5" w:rsidP="00EB56D5">
      <w:pPr>
        <w:keepNext/>
        <w:spacing w:after="0" w:line="240" w:lineRule="auto"/>
        <w:jc w:val="both"/>
        <w:rPr>
          <w:b/>
        </w:rPr>
      </w:pPr>
      <w:r w:rsidRPr="00795CBD">
        <w:rPr>
          <w:b/>
        </w:rPr>
        <w:t>ESTATÍSTICAS DE AJUSTE DO MODELO</w:t>
      </w:r>
    </w:p>
    <w:tbl>
      <w:tblPr>
        <w:tblW w:w="850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20" w:firstRow="1" w:lastRow="0" w:firstColumn="0" w:lastColumn="0" w:noHBand="1" w:noVBand="1"/>
      </w:tblPr>
      <w:tblGrid>
        <w:gridCol w:w="6091"/>
        <w:gridCol w:w="992"/>
        <w:gridCol w:w="1417"/>
      </w:tblGrid>
      <w:tr w:rsidR="00EB56D5" w:rsidRPr="001D77A7" w14:paraId="1A754779" w14:textId="77777777" w:rsidTr="000D3F00">
        <w:trPr>
          <w:trHeight w:val="300"/>
        </w:trPr>
        <w:tc>
          <w:tcPr>
            <w:tcW w:w="6091" w:type="dxa"/>
            <w:vMerge w:val="restart"/>
            <w:shd w:val="clear" w:color="auto" w:fill="auto"/>
            <w:noWrap/>
            <w:vAlign w:val="center"/>
            <w:hideMark/>
          </w:tcPr>
          <w:p w14:paraId="64A4408F" w14:textId="77777777" w:rsidR="00EB56D5" w:rsidRPr="001D77A7" w:rsidRDefault="00EB56D5" w:rsidP="00C701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Variáveis independentes no m</w:t>
            </w: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odelo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14:paraId="0C4DA9BC" w14:textId="695A4374" w:rsidR="00EB56D5" w:rsidRPr="001D77A7" w:rsidRDefault="00EB56D5" w:rsidP="00C701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TIC Domicílios 20</w:t>
            </w:r>
            <w:r w:rsidR="00D25704">
              <w:rPr>
                <w:rFonts w:ascii="Calibri" w:eastAsia="Times New Roman" w:hAnsi="Calibri" w:cs="Times New Roman"/>
                <w:color w:val="000000"/>
                <w:lang w:eastAsia="pt-BR"/>
              </w:rPr>
              <w:t>20</w:t>
            </w:r>
          </w:p>
        </w:tc>
      </w:tr>
      <w:tr w:rsidR="00EB56D5" w:rsidRPr="001D77A7" w14:paraId="631B67A1" w14:textId="77777777" w:rsidTr="000D3F00">
        <w:trPr>
          <w:trHeight w:val="345"/>
        </w:trPr>
        <w:tc>
          <w:tcPr>
            <w:tcW w:w="6091" w:type="dxa"/>
            <w:vMerge/>
            <w:vAlign w:val="center"/>
            <w:hideMark/>
          </w:tcPr>
          <w:p w14:paraId="2043ACF3" w14:textId="77777777" w:rsidR="00EB56D5" w:rsidRPr="001D77A7" w:rsidRDefault="00EB56D5" w:rsidP="00C701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5F4E9E66" w14:textId="77777777" w:rsidR="00EB56D5" w:rsidRPr="001D77A7" w:rsidRDefault="00EB56D5" w:rsidP="00C701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R</w:t>
            </w:r>
            <w:r w:rsidRPr="001D77A7">
              <w:rPr>
                <w:rFonts w:ascii="Calibri" w:eastAsia="Times New Roman" w:hAnsi="Calibri" w:cs="Times New Roman"/>
                <w:color w:val="000000"/>
                <w:vertAlign w:val="superscript"/>
                <w:lang w:eastAsia="pt-BR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661F8AC4" w14:textId="77777777" w:rsidR="00EB56D5" w:rsidRPr="001D77A7" w:rsidRDefault="00EB56D5" w:rsidP="00C701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Taxa de classificação correta</w:t>
            </w:r>
            <w:r w:rsidRPr="000E2336">
              <w:rPr>
                <w:rFonts w:ascii="Calibri" w:eastAsia="Times New Roman" w:hAnsi="Calibri" w:cs="Times New Roman"/>
                <w:color w:val="000000"/>
                <w:vertAlign w:val="superscript"/>
                <w:lang w:eastAsia="pt-BR"/>
              </w:rPr>
              <w:t xml:space="preserve"> (1)</w:t>
            </w:r>
          </w:p>
        </w:tc>
      </w:tr>
      <w:tr w:rsidR="00EB56D5" w:rsidRPr="001D77A7" w14:paraId="53B865AB" w14:textId="77777777" w:rsidTr="00201837">
        <w:trPr>
          <w:trHeight w:val="835"/>
        </w:trPr>
        <w:tc>
          <w:tcPr>
            <w:tcW w:w="6091" w:type="dxa"/>
            <w:shd w:val="clear" w:color="auto" w:fill="auto"/>
            <w:vAlign w:val="center"/>
            <w:hideMark/>
          </w:tcPr>
          <w:p w14:paraId="2D6370F1" w14:textId="77777777" w:rsidR="00EB56D5" w:rsidRPr="001D77A7" w:rsidRDefault="00EB56D5" w:rsidP="002018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Sexo, Idade, Grau de instrução, Classe social, 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Indicador de u</w:t>
            </w: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suário de computador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F0A524" w14:textId="19A430C3" w:rsidR="00515038" w:rsidRPr="001D77A7" w:rsidRDefault="00EB56D5" w:rsidP="00515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0,</w:t>
            </w:r>
            <w:r w:rsidR="00515038">
              <w:rPr>
                <w:rFonts w:ascii="Calibri" w:eastAsia="Times New Roman" w:hAnsi="Calibri" w:cs="Times New Roman"/>
                <w:color w:val="000000"/>
                <w:lang w:eastAsia="pt-BR"/>
              </w:rPr>
              <w:t>389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FC3CE1" w14:textId="68E2DBC8" w:rsidR="00EB56D5" w:rsidRPr="001D77A7" w:rsidRDefault="00515038" w:rsidP="00C701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87%</w:t>
            </w:r>
          </w:p>
        </w:tc>
      </w:tr>
    </w:tbl>
    <w:p w14:paraId="64213A78" w14:textId="3B41F5D4" w:rsidR="00EB56D5" w:rsidRDefault="00EB56D5" w:rsidP="00EB56D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Fonte: CGI.br, TIC Domicílios 20</w:t>
      </w:r>
      <w:r w:rsidR="00515038">
        <w:rPr>
          <w:sz w:val="18"/>
          <w:szCs w:val="18"/>
        </w:rPr>
        <w:t>20</w:t>
      </w:r>
      <w:r>
        <w:rPr>
          <w:sz w:val="18"/>
          <w:szCs w:val="18"/>
        </w:rPr>
        <w:t>.</w:t>
      </w:r>
    </w:p>
    <w:p w14:paraId="69CCF644" w14:textId="77777777" w:rsidR="00EB56D5" w:rsidRDefault="00EB56D5" w:rsidP="00EB56D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pt-BR"/>
        </w:rPr>
      </w:pPr>
      <w:r>
        <w:rPr>
          <w:sz w:val="18"/>
          <w:szCs w:val="18"/>
        </w:rPr>
        <w:t>(1)</w:t>
      </w:r>
      <w:r w:rsidRPr="001D77A7">
        <w:rPr>
          <w:sz w:val="18"/>
          <w:szCs w:val="18"/>
        </w:rPr>
        <w:t xml:space="preserve"> = </w:t>
      </w:r>
      <w:r w:rsidRPr="001D77A7">
        <w:rPr>
          <w:rFonts w:ascii="Calibri" w:eastAsia="Times New Roman" w:hAnsi="Calibri" w:cs="Times New Roman"/>
          <w:color w:val="000000"/>
          <w:sz w:val="18"/>
          <w:szCs w:val="18"/>
          <w:lang w:eastAsia="pt-BR"/>
        </w:rPr>
        <w:t>Percentual de indivíduos classificados corretamente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t-BR"/>
        </w:rPr>
        <w:t xml:space="preserve"> com base no modelo ajustado.</w:t>
      </w:r>
    </w:p>
    <w:p w14:paraId="4FDA1C60" w14:textId="0B0E91E2" w:rsidR="00EB56D5" w:rsidRPr="004F3930" w:rsidRDefault="00EB56D5" w:rsidP="00201837">
      <w:pPr>
        <w:pStyle w:val="Heading4"/>
      </w:pPr>
      <w:r>
        <w:t xml:space="preserve">Passo </w:t>
      </w:r>
      <w:r w:rsidRPr="004F3930">
        <w:t xml:space="preserve">III. Estimação dos escores de propensão para os respondentes </w:t>
      </w:r>
      <w:r>
        <w:t>do</w:t>
      </w:r>
      <w:r w:rsidRPr="004F3930">
        <w:t xml:space="preserve"> </w:t>
      </w:r>
      <w:r w:rsidR="00237813">
        <w:t>Painel TIC COVID</w:t>
      </w:r>
      <w:r w:rsidR="00237813">
        <w:noBreakHyphen/>
        <w:t>19 – 4ª Edição</w:t>
      </w:r>
    </w:p>
    <w:p w14:paraId="7D7F80FD" w14:textId="55ABF655" w:rsidR="00EB56D5" w:rsidRDefault="00EB56D5" w:rsidP="00EB56D5">
      <w:pPr>
        <w:jc w:val="both"/>
      </w:pPr>
      <w:r>
        <w:t>A partir do modelo ajustado com os dados da pesquisa TIC Domicílios 20</w:t>
      </w:r>
      <w:r w:rsidR="00401B8A">
        <w:t>20</w:t>
      </w:r>
      <w:r>
        <w:t xml:space="preserve">, foram estimados os escores de propensão para o conjunto de respondentes do </w:t>
      </w:r>
      <w:r w:rsidR="00237813">
        <w:t>Painel TIC COVID</w:t>
      </w:r>
      <w:r w:rsidR="00237813">
        <w:noBreakHyphen/>
        <w:t>19 – 4ª Edição</w:t>
      </w:r>
      <w:r w:rsidRPr="0041454A">
        <w:t>.</w:t>
      </w:r>
      <w:r>
        <w:t xml:space="preserve"> Em seguida, foi feita a comparação das distribuições dos escores de propensão na amostra da TIC Domicílios </w:t>
      </w:r>
      <w:r w:rsidR="00401B8A">
        <w:t>2020</w:t>
      </w:r>
      <w:r>
        <w:t xml:space="preserve"> com os escores da amostra do </w:t>
      </w:r>
      <w:r w:rsidR="00237813">
        <w:t>Painel TIC COVID</w:t>
      </w:r>
      <w:r w:rsidR="00237813">
        <w:noBreakHyphen/>
        <w:t>19 – 4ª Edição</w:t>
      </w:r>
      <w:r>
        <w:t xml:space="preserve"> para os usuários de Internet. Os resultados são apresentados na </w:t>
      </w:r>
      <w:r w:rsidR="00E63696">
        <w:t>Figura 1</w:t>
      </w:r>
      <w:r>
        <w:t xml:space="preserve">. É possível notar que a distribuição dos escores dos respondentes do </w:t>
      </w:r>
      <w:r w:rsidR="00237813">
        <w:t>Painel TIC COVID</w:t>
      </w:r>
      <w:r w:rsidR="00237813">
        <w:noBreakHyphen/>
        <w:t>19 – 4ª Edição</w:t>
      </w:r>
      <w:r w:rsidR="00644174">
        <w:t xml:space="preserve"> </w:t>
      </w:r>
      <w:r>
        <w:t xml:space="preserve">tem um perfil </w:t>
      </w:r>
      <w:r w:rsidR="00644174">
        <w:t>similar</w:t>
      </w:r>
      <w:r>
        <w:t xml:space="preserve"> </w:t>
      </w:r>
      <w:r w:rsidR="00644174">
        <w:t>a</w:t>
      </w:r>
      <w:r>
        <w:t>o observado para a população usuária de Internet de 16 anos ou mais segundo a TIC Domicílios 20</w:t>
      </w:r>
      <w:r w:rsidR="00644174">
        <w:t>20</w:t>
      </w:r>
      <w:r>
        <w:t>.</w:t>
      </w:r>
    </w:p>
    <w:p w14:paraId="46DF2287" w14:textId="09E4F735" w:rsidR="00EB56D5" w:rsidRDefault="00644174" w:rsidP="00EB56D5">
      <w:pPr>
        <w:spacing w:after="0" w:line="240" w:lineRule="auto"/>
        <w:jc w:val="both"/>
        <w:rPr>
          <w:b/>
        </w:rPr>
      </w:pPr>
      <w:r>
        <w:rPr>
          <w:b/>
        </w:rPr>
        <w:t>FIGURA 1: DISTRIBUIÇÃO DOS ESCORES DE PROPENSÃO A SER USUÁRIO DE INTERNET</w:t>
      </w:r>
    </w:p>
    <w:p w14:paraId="2FEC6F17" w14:textId="371568D9" w:rsidR="00644174" w:rsidRDefault="00644174" w:rsidP="00EB56D5">
      <w:pPr>
        <w:spacing w:after="0" w:line="240" w:lineRule="auto"/>
        <w:jc w:val="both"/>
        <w:rPr>
          <w:sz w:val="18"/>
          <w:szCs w:val="18"/>
        </w:rPr>
      </w:pPr>
      <w:r w:rsidRPr="00644174">
        <w:rPr>
          <w:noProof/>
        </w:rPr>
        <w:drawing>
          <wp:inline distT="0" distB="0" distL="0" distR="0" wp14:anchorId="56B7E826" wp14:editId="4D970E88">
            <wp:extent cx="5496810" cy="2736850"/>
            <wp:effectExtent l="0" t="0" r="8890" b="6350"/>
            <wp:docPr id="1" name="Imagem 1" descr="Gráfico, Gráfico de caixa estrei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Gráfico, Gráfico de caixa estreita&#10;&#10;Descrição gerada automaticamente"/>
                    <pic:cNvPicPr/>
                  </pic:nvPicPr>
                  <pic:blipFill rotWithShape="1">
                    <a:blip r:embed="rId8"/>
                    <a:srcRect b="15523"/>
                    <a:stretch/>
                  </pic:blipFill>
                  <pic:spPr bwMode="auto">
                    <a:xfrm>
                      <a:off x="0" y="0"/>
                      <a:ext cx="5497200" cy="27370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426D2" w14:textId="0106D7C8" w:rsidR="00F42A8C" w:rsidRPr="009C304C" w:rsidRDefault="00CB33CD" w:rsidP="00CB33CD">
      <w:pPr>
        <w:tabs>
          <w:tab w:val="center" w:pos="2814"/>
          <w:tab w:val="center" w:pos="6257"/>
        </w:tabs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F42A8C" w:rsidRPr="009C304C">
        <w:rPr>
          <w:sz w:val="18"/>
          <w:szCs w:val="18"/>
        </w:rPr>
        <w:t xml:space="preserve">TIC Domicílios </w:t>
      </w:r>
      <w:r w:rsidRPr="009C304C">
        <w:rPr>
          <w:sz w:val="18"/>
          <w:szCs w:val="18"/>
        </w:rPr>
        <w:t>2020</w:t>
      </w:r>
      <w:r>
        <w:rPr>
          <w:sz w:val="18"/>
          <w:szCs w:val="18"/>
        </w:rPr>
        <w:tab/>
      </w:r>
      <w:r w:rsidR="00237813">
        <w:rPr>
          <w:sz w:val="18"/>
          <w:szCs w:val="18"/>
        </w:rPr>
        <w:t>Painel TIC COVID</w:t>
      </w:r>
      <w:r w:rsidR="00237813">
        <w:rPr>
          <w:sz w:val="18"/>
          <w:szCs w:val="18"/>
        </w:rPr>
        <w:noBreakHyphen/>
        <w:t>19 – 4ª Edição</w:t>
      </w:r>
    </w:p>
    <w:p w14:paraId="793C7087" w14:textId="1145CB46" w:rsidR="00EB56D5" w:rsidRDefault="00EB56D5" w:rsidP="00EB56D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Fonte: CGI.br, TIC Domicílios 20</w:t>
      </w:r>
      <w:r w:rsidR="00644174">
        <w:rPr>
          <w:sz w:val="18"/>
          <w:szCs w:val="18"/>
        </w:rPr>
        <w:t>20</w:t>
      </w:r>
      <w:r>
        <w:rPr>
          <w:sz w:val="18"/>
          <w:szCs w:val="18"/>
        </w:rPr>
        <w:t xml:space="preserve"> e </w:t>
      </w:r>
      <w:r w:rsidR="00237813">
        <w:rPr>
          <w:sz w:val="18"/>
          <w:szCs w:val="18"/>
        </w:rPr>
        <w:t>Painel TIC COVID</w:t>
      </w:r>
      <w:r w:rsidR="00237813">
        <w:rPr>
          <w:sz w:val="18"/>
          <w:szCs w:val="18"/>
        </w:rPr>
        <w:noBreakHyphen/>
        <w:t>19 – 4ª Edição</w:t>
      </w:r>
      <w:r>
        <w:rPr>
          <w:sz w:val="18"/>
          <w:szCs w:val="18"/>
        </w:rPr>
        <w:t>.</w:t>
      </w:r>
    </w:p>
    <w:p w14:paraId="0D77DA23" w14:textId="77777777" w:rsidR="00F42A8C" w:rsidRDefault="00F42A8C">
      <w:pPr>
        <w:rPr>
          <w:i/>
          <w:iCs/>
        </w:rPr>
      </w:pPr>
      <w:r>
        <w:rPr>
          <w:i/>
          <w:iCs/>
        </w:rPr>
        <w:br w:type="page"/>
      </w:r>
    </w:p>
    <w:p w14:paraId="42CF8FEA" w14:textId="6E0E7878" w:rsidR="00EB56D5" w:rsidRPr="00D028FF" w:rsidRDefault="00EB56D5" w:rsidP="00201837">
      <w:pPr>
        <w:pStyle w:val="Heading4"/>
      </w:pPr>
      <w:r w:rsidRPr="00D028FF">
        <w:lastRenderedPageBreak/>
        <w:t>Passo IV. Determinação de população de suporte comum das pesquisas TIC Domicílios 20</w:t>
      </w:r>
      <w:r w:rsidR="00D028FF" w:rsidRPr="00D028FF">
        <w:t>20</w:t>
      </w:r>
      <w:r w:rsidRPr="00D028FF">
        <w:t xml:space="preserve"> e </w:t>
      </w:r>
      <w:r w:rsidR="00237813">
        <w:t>Painel TIC COVID</w:t>
      </w:r>
      <w:r w:rsidR="00237813">
        <w:noBreakHyphen/>
        <w:t>19 – 4ª Edição</w:t>
      </w:r>
    </w:p>
    <w:p w14:paraId="1085C7FB" w14:textId="2DF092E0" w:rsidR="00175675" w:rsidRDefault="00EB56D5" w:rsidP="00175675">
      <w:pPr>
        <w:jc w:val="both"/>
      </w:pPr>
      <w:r>
        <w:t xml:space="preserve">Dado que as distribuições dos escores obtidos em ambas as pesquisas </w:t>
      </w:r>
      <w:r w:rsidR="00175675">
        <w:t>são bastante similares</w:t>
      </w:r>
      <w:r>
        <w:t xml:space="preserve">, </w:t>
      </w:r>
      <w:r w:rsidR="00175675">
        <w:t xml:space="preserve">os respondentes da pesquisa </w:t>
      </w:r>
      <w:r w:rsidR="00237813">
        <w:t>Painel TIC COVID</w:t>
      </w:r>
      <w:r w:rsidR="00237813">
        <w:noBreakHyphen/>
        <w:t>19 – 4ª Edição</w:t>
      </w:r>
      <w:r w:rsidR="00175675">
        <w:t xml:space="preserve"> foi considerada integralmente como representativa da população de usuários de Internet com 16 anos ou mais de idade no Brasil.</w:t>
      </w:r>
    </w:p>
    <w:p w14:paraId="00A94776" w14:textId="79867BE7" w:rsidR="00EB56D5" w:rsidRPr="00B3421E" w:rsidRDefault="007120CA" w:rsidP="00201837">
      <w:pPr>
        <w:pStyle w:val="Heading3"/>
      </w:pPr>
      <w:r>
        <w:t>4</w:t>
      </w:r>
      <w:r w:rsidR="007C63EF">
        <w:t>.1.2</w:t>
      </w:r>
      <w:r w:rsidR="00201837">
        <w:t>.</w:t>
      </w:r>
      <w:r w:rsidR="007C63EF">
        <w:t xml:space="preserve"> </w:t>
      </w:r>
      <w:r w:rsidR="00EB56D5">
        <w:t xml:space="preserve">ETAPA </w:t>
      </w:r>
      <w:r w:rsidR="00EB56D5" w:rsidRPr="004F3930">
        <w:t>2</w:t>
      </w:r>
      <w:r w:rsidR="00EB56D5">
        <w:t xml:space="preserve"> - </w:t>
      </w:r>
      <w:r w:rsidR="00EB56D5" w:rsidRPr="00B3421E">
        <w:t>Estimação d</w:t>
      </w:r>
      <w:r w:rsidR="00EB56D5">
        <w:t xml:space="preserve">e </w:t>
      </w:r>
      <w:r w:rsidR="00EB56D5">
        <w:rPr>
          <w:noProof/>
        </w:rPr>
        <w:t>pseudoprobabilidades</w:t>
      </w:r>
      <w:r w:rsidR="00EB56D5">
        <w:t xml:space="preserve"> de inclusão para determinação de pesos dos respondentes do </w:t>
      </w:r>
      <w:r w:rsidR="00237813">
        <w:t>Painel TIC COVID</w:t>
      </w:r>
      <w:r w:rsidR="00237813">
        <w:noBreakHyphen/>
        <w:t>19 – 4ª Edição</w:t>
      </w:r>
    </w:p>
    <w:p w14:paraId="7927289F" w14:textId="01634794" w:rsidR="00EB56D5" w:rsidRDefault="00EB56D5" w:rsidP="00EB56D5">
      <w:pPr>
        <w:jc w:val="both"/>
      </w:pPr>
      <w:r>
        <w:t xml:space="preserve">O processo de estimação de </w:t>
      </w:r>
      <w:r>
        <w:rPr>
          <w:noProof/>
        </w:rPr>
        <w:t>pseudopesos</w:t>
      </w:r>
      <w:r>
        <w:t xml:space="preserve"> consiste na estimação de </w:t>
      </w:r>
      <w:r>
        <w:rPr>
          <w:noProof/>
        </w:rPr>
        <w:t>pseudoprobabilidades</w:t>
      </w:r>
      <w:r>
        <w:t xml:space="preserve"> de inclusão dos respondentes do </w:t>
      </w:r>
      <w:r w:rsidR="00237813">
        <w:t>Painel TIC COVID</w:t>
      </w:r>
      <w:r w:rsidR="00237813">
        <w:noBreakHyphen/>
        <w:t>19 – 4ª Edição</w:t>
      </w:r>
      <w:r>
        <w:t xml:space="preserve"> (amostra não probabilística) na pesquisa TIC Domicílios 20</w:t>
      </w:r>
      <w:r w:rsidR="003A1AEA">
        <w:t>20</w:t>
      </w:r>
      <w:r>
        <w:t xml:space="preserve"> (amostra probabilística), e usar seus recíprocos como pesos, tal como em uma pesquisa por amostragem probabilística tradicional. Com isso, estima-se a probabilidade de um indivíduo ser selecionado e responder à pesquisa TIC Domicílios 2019 com base em variáveis independentes (</w:t>
      </w:r>
      <m:oMath>
        <m:r>
          <m:rPr>
            <m:nor/>
          </m:rPr>
          <w:rPr>
            <w:rFonts w:ascii="Cambria Math" w:hAnsi="Cambria Math"/>
            <w:b/>
            <w:bCs/>
          </w:rPr>
          <m:t>X</m:t>
        </m:r>
      </m:oMath>
      <w:r>
        <w:t>) relacionadas ao perfil dos entrevistados, considerando que, dadas essas variáveis (</w:t>
      </w:r>
      <m:oMath>
        <m:r>
          <m:rPr>
            <m:nor/>
          </m:rPr>
          <w:rPr>
            <w:rFonts w:ascii="Cambria Math" w:hAnsi="Cambria Math"/>
            <w:b/>
            <w:bCs/>
          </w:rPr>
          <m:t>X</m:t>
        </m:r>
      </m:oMath>
      <w:r>
        <w:t>), as probabilidades de inclusão são independentes das variáveis de interesse da pesquisa</w:t>
      </w:r>
      <w:r w:rsidR="003A1AEA">
        <w:rPr>
          <w:rStyle w:val="FootnoteReference"/>
        </w:rPr>
        <w:footnoteReference w:id="4"/>
      </w:r>
      <w:r>
        <w:t>.</w:t>
      </w:r>
    </w:p>
    <w:p w14:paraId="00F6DBF7" w14:textId="6FF65AB8" w:rsidR="00EB56D5" w:rsidRDefault="00EB56D5" w:rsidP="00EB56D5">
      <w:pPr>
        <w:jc w:val="both"/>
      </w:pPr>
      <w:r>
        <w:t>O modelo mais parcimonioso considerando as variáveis independentes (</w:t>
      </w:r>
      <m:oMath>
        <m:r>
          <m:rPr>
            <m:nor/>
          </m:rPr>
          <w:rPr>
            <w:rFonts w:ascii="Cambria Math" w:hAnsi="Cambria Math"/>
            <w:b/>
            <w:bCs/>
          </w:rPr>
          <m:t>X</m:t>
        </m:r>
      </m:oMath>
      <w:r>
        <w:t>) disponíveis e comuns às duas bases de dados contém as seguintes variávei</w:t>
      </w:r>
      <w:r w:rsidRPr="00627819">
        <w:t xml:space="preserve">s: </w:t>
      </w:r>
      <w:r w:rsidR="00114757">
        <w:t>macrorregião</w:t>
      </w:r>
      <w:r w:rsidRPr="00627819">
        <w:t xml:space="preserve">, </w:t>
      </w:r>
      <w:r>
        <w:t>c</w:t>
      </w:r>
      <w:r w:rsidRPr="004F3930">
        <w:t>lasse social</w:t>
      </w:r>
      <w:r w:rsidRPr="00627819">
        <w:t xml:space="preserve">, </w:t>
      </w:r>
      <w:r>
        <w:t xml:space="preserve">indicador de </w:t>
      </w:r>
      <w:r w:rsidRPr="004F3930">
        <w:t xml:space="preserve">uso </w:t>
      </w:r>
      <w:r w:rsidR="00114757">
        <w:t>de Internet no</w:t>
      </w:r>
      <w:r w:rsidRPr="004F3930">
        <w:t xml:space="preserve"> computador</w:t>
      </w:r>
      <w:r w:rsidRPr="00627819">
        <w:t xml:space="preserve">, </w:t>
      </w:r>
      <w:r>
        <w:t>e</w:t>
      </w:r>
      <w:r w:rsidRPr="004F3930">
        <w:t>scolaridade</w:t>
      </w:r>
      <w:r w:rsidR="00114757">
        <w:t>, faixa etária, sexo</w:t>
      </w:r>
      <w:r w:rsidR="00114757">
        <w:tab/>
      </w:r>
      <w:r w:rsidRPr="00627819">
        <w:t xml:space="preserve">e </w:t>
      </w:r>
      <w:r>
        <w:t>n</w:t>
      </w:r>
      <w:r w:rsidRPr="004F3930">
        <w:t>úmero de moradores do domicílio</w:t>
      </w:r>
      <w:r w:rsidRPr="00627819">
        <w:t>.</w:t>
      </w:r>
      <w:r>
        <w:t xml:space="preserve"> A partir desse modelo, foram estimadas as </w:t>
      </w:r>
      <w:r>
        <w:rPr>
          <w:noProof/>
        </w:rPr>
        <w:t>pseudoprobabilidades</w:t>
      </w:r>
      <w:r>
        <w:t xml:space="preserve"> de inclusão dos respondentes do </w:t>
      </w:r>
      <w:r w:rsidR="00237813">
        <w:t>Painel TIC COVID</w:t>
      </w:r>
      <w:r w:rsidR="00237813">
        <w:noBreakHyphen/>
        <w:t>19 – 4ª Edição</w:t>
      </w:r>
      <w:r>
        <w:t xml:space="preserve"> na pesquisa TIC Domicílios 20</w:t>
      </w:r>
      <w:r w:rsidR="00114757">
        <w:t>20</w:t>
      </w:r>
      <w:r>
        <w:t xml:space="preserve">. Os recíprocos dessas </w:t>
      </w:r>
      <w:r>
        <w:rPr>
          <w:noProof/>
        </w:rPr>
        <w:t>pseudoprobabilidades</w:t>
      </w:r>
      <w:r>
        <w:t xml:space="preserve"> são os pesos iniciais alocados para cada respondente do </w:t>
      </w:r>
      <w:r w:rsidR="00237813">
        <w:t>Painel TIC COVID</w:t>
      </w:r>
      <w:r w:rsidR="00237813">
        <w:noBreakHyphen/>
        <w:t>19 – 4ª Edição</w:t>
      </w:r>
      <w:r>
        <w:t>.</w:t>
      </w:r>
    </w:p>
    <w:p w14:paraId="19614AA1" w14:textId="1CD96764" w:rsidR="00EB56D5" w:rsidRPr="00544704" w:rsidRDefault="00EB56D5" w:rsidP="00EB56D5">
      <w:pPr>
        <w:jc w:val="both"/>
      </w:pPr>
      <w:r>
        <w:t>Esses pesos iniciais foram calibrados para totais marginais estimados das variáveis</w:t>
      </w:r>
      <w:r w:rsidRPr="00627819">
        <w:t xml:space="preserve"> </w:t>
      </w:r>
      <w:r w:rsidR="00114757">
        <w:t>macrorregião,</w:t>
      </w:r>
      <w:r w:rsidRPr="004F3930">
        <w:t xml:space="preserve"> </w:t>
      </w:r>
      <w:r>
        <w:t>s</w:t>
      </w:r>
      <w:r w:rsidRPr="004F3930">
        <w:t>exo</w:t>
      </w:r>
      <w:r w:rsidRPr="00627819">
        <w:t xml:space="preserve">; </w:t>
      </w:r>
      <w:r>
        <w:t>f</w:t>
      </w:r>
      <w:r w:rsidRPr="004F3930">
        <w:t>aixa etária</w:t>
      </w:r>
      <w:r w:rsidR="00114757">
        <w:t xml:space="preserve"> e</w:t>
      </w:r>
      <w:r w:rsidRPr="00627819">
        <w:t xml:space="preserve"> </w:t>
      </w:r>
      <w:r>
        <w:t>e</w:t>
      </w:r>
      <w:r w:rsidRPr="004F3930">
        <w:t>scolaridade</w:t>
      </w:r>
      <w:r w:rsidRPr="00627819">
        <w:t>.</w:t>
      </w:r>
      <w:r>
        <w:t xml:space="preserve"> Os pesos assim calibrados foram considerados para a estimação de todos os indicadores de resultados de interesse e das medidas de precisão associadas.</w:t>
      </w:r>
    </w:p>
    <w:p w14:paraId="68CF4089" w14:textId="4C6C58C5" w:rsidR="00EB56D5" w:rsidRPr="006B5E16" w:rsidRDefault="00201837" w:rsidP="00237813">
      <w:pPr>
        <w:pStyle w:val="Heading2"/>
      </w:pPr>
      <w:r>
        <w:t>4</w:t>
      </w:r>
      <w:r w:rsidR="007C63EF">
        <w:t>.2</w:t>
      </w:r>
      <w:r>
        <w:t>.</w:t>
      </w:r>
      <w:r w:rsidR="007C63EF">
        <w:t xml:space="preserve"> </w:t>
      </w:r>
      <w:r w:rsidR="006B5E16">
        <w:t>ESTIMAÇÃO DE VARIÂNCIA</w:t>
      </w:r>
    </w:p>
    <w:p w14:paraId="71EBBAB5" w14:textId="6AFBABDE" w:rsidR="00EB56D5" w:rsidRDefault="00EB56D5" w:rsidP="00EB56D5">
      <w:pPr>
        <w:jc w:val="both"/>
      </w:pPr>
      <w:r>
        <w:t xml:space="preserve">O processo de estimação atribuiu a cada respondente do </w:t>
      </w:r>
      <w:r w:rsidR="00237813">
        <w:t>Painel TIC COVID</w:t>
      </w:r>
      <w:r w:rsidR="00237813">
        <w:noBreakHyphen/>
        <w:t>19 – 4ª Edição</w:t>
      </w:r>
      <w:r>
        <w:t xml:space="preserve"> um peso que o trata como se fosse um participante de pesquisa com plano amostral igual ao da pesquisa TIC Domicílios 20</w:t>
      </w:r>
      <w:r w:rsidR="00114757">
        <w:t>20</w:t>
      </w:r>
      <w:r>
        <w:t xml:space="preserve">, mas com tamanho total da amostra menor. Dessa forma, é possível estimar variâncias e margens de erro. </w:t>
      </w:r>
      <w:r w:rsidR="00114757">
        <w:t>O método utilizado para a estimação de erros foi o método de replicação</w:t>
      </w:r>
      <w:r w:rsidR="00114757" w:rsidRPr="00114757">
        <w:rPr>
          <w:vertAlign w:val="superscript"/>
        </w:rPr>
        <w:t>4</w:t>
      </w:r>
      <w:r w:rsidR="00114757">
        <w:t>.</w:t>
      </w:r>
    </w:p>
    <w:p w14:paraId="3FB61CA0" w14:textId="0474B3F3" w:rsidR="00EB56D5" w:rsidRPr="004F3930" w:rsidRDefault="00114757" w:rsidP="00237813">
      <w:pPr>
        <w:pStyle w:val="Heading1"/>
      </w:pPr>
      <w:r>
        <w:t>5</w:t>
      </w:r>
      <w:r w:rsidR="00201837">
        <w:t>.</w:t>
      </w:r>
      <w:r w:rsidR="006B5E16">
        <w:t xml:space="preserve"> </w:t>
      </w:r>
      <w:r w:rsidR="00EB56D5" w:rsidRPr="004F3930">
        <w:t>DISSEMINAÇÃO DOS DADOS</w:t>
      </w:r>
    </w:p>
    <w:p w14:paraId="4874FE64" w14:textId="3A9917C5" w:rsidR="00EB56D5" w:rsidRPr="004F3930" w:rsidRDefault="00EB56D5" w:rsidP="00EB56D5">
      <w:pPr>
        <w:jc w:val="both"/>
      </w:pPr>
      <w:r w:rsidRPr="004F3930">
        <w:t xml:space="preserve">Os resultados do </w:t>
      </w:r>
      <w:r w:rsidR="00237813">
        <w:t>Painel TIC COVID</w:t>
      </w:r>
      <w:r w:rsidR="00237813">
        <w:noBreakHyphen/>
        <w:t>19 – 4ª Edição</w:t>
      </w:r>
      <w:r w:rsidRPr="004F3930">
        <w:t xml:space="preserve"> são apresentados de acordo com as variáveis </w:t>
      </w:r>
      <w:r>
        <w:t xml:space="preserve">de classificação </w:t>
      </w:r>
      <w:r w:rsidRPr="004F3930">
        <w:t xml:space="preserve">descritas no item “Domínios de Interesse para Análise e Divulgação”. Arredondamentos fazem com que, em alguns </w:t>
      </w:r>
      <w:r w:rsidRPr="004F3930">
        <w:lastRenderedPageBreak/>
        <w:t>resultados, a soma das categorias parciais difira de 100% em questões de resposta única. O somatório de frequências em questões de respostas múltiplas usualmente é diferente de 100%. Vale ressaltar que, nas tabelas de resultados, o hífen (–) é utilizado para representar a não resposta ao item. Por outro lado, como os resultados são apresentados sem casa decimal, as células com valor zero significam que houve resposta ao item, mas ele é explicitamente maior do que zero e menor do que um</w:t>
      </w:r>
      <w:r>
        <w:t xml:space="preserve"> por cento</w:t>
      </w:r>
      <w:r w:rsidRPr="004F3930">
        <w:t>.</w:t>
      </w:r>
    </w:p>
    <w:p w14:paraId="4B501B1E" w14:textId="44B672B8" w:rsidR="00EB56D5" w:rsidRDefault="00EB56D5" w:rsidP="00EB56D5">
      <w:pPr>
        <w:jc w:val="both"/>
        <w:rPr>
          <w:rFonts w:eastAsiaTheme="minorEastAsia"/>
        </w:rPr>
      </w:pPr>
      <w:r w:rsidRPr="004F3930">
        <w:t xml:space="preserve">Os resultados são publicados em relatório </w:t>
      </w:r>
      <w:r w:rsidRPr="004F3930">
        <w:rPr>
          <w:i/>
          <w:iCs/>
        </w:rPr>
        <w:t>on-line</w:t>
      </w:r>
      <w:r w:rsidRPr="004F3930">
        <w:t xml:space="preserve"> e disponibilizados no </w:t>
      </w:r>
      <w:r w:rsidRPr="00553960">
        <w:rPr>
          <w:i/>
        </w:rPr>
        <w:t>site</w:t>
      </w:r>
      <w:r w:rsidRPr="004F3930">
        <w:t xml:space="preserve"> do Cetic.br (</w:t>
      </w:r>
      <w:hyperlink r:id="rId9" w:history="1">
        <w:r w:rsidRPr="004F3930">
          <w:t>http://www.cetic.br</w:t>
        </w:r>
      </w:hyperlink>
      <w:r w:rsidRPr="004F3930">
        <w:t xml:space="preserve">). As tabelas </w:t>
      </w:r>
      <w:r>
        <w:t xml:space="preserve">com estimativas de </w:t>
      </w:r>
      <w:r w:rsidRPr="004F3930">
        <w:t>totais e margens de erro calculadas para cada indicador estão disponíveis</w:t>
      </w:r>
      <w:r>
        <w:t xml:space="preserve"> </w:t>
      </w:r>
      <w:r w:rsidRPr="004F3930">
        <w:t xml:space="preserve">para </w:t>
      </w:r>
      <w:r w:rsidRPr="00553960">
        <w:rPr>
          <w:i/>
        </w:rPr>
        <w:t>download</w:t>
      </w:r>
      <w:r w:rsidRPr="004F3930">
        <w:t xml:space="preserve"> no </w:t>
      </w:r>
      <w:r w:rsidRPr="00553960">
        <w:rPr>
          <w:i/>
        </w:rPr>
        <w:t>website</w:t>
      </w:r>
      <w:r w:rsidRPr="004F3930">
        <w:t xml:space="preserve"> do Cetic.br</w:t>
      </w:r>
      <w:r>
        <w:t>.</w:t>
      </w:r>
      <w:r>
        <w:rPr>
          <w:rFonts w:eastAsiaTheme="minorEastAsia"/>
        </w:rPr>
        <w:br w:type="page"/>
      </w:r>
    </w:p>
    <w:p w14:paraId="5B2D311A" w14:textId="789DDF0B" w:rsidR="00EB56D5" w:rsidRDefault="00EB56D5" w:rsidP="00237813">
      <w:pPr>
        <w:pStyle w:val="Heading1"/>
      </w:pPr>
      <w:r w:rsidRPr="006871DB">
        <w:lastRenderedPageBreak/>
        <w:t>REFERÊNCIAS</w:t>
      </w:r>
    </w:p>
    <w:p w14:paraId="6FC19F2A" w14:textId="77777777" w:rsidR="00EB56D5" w:rsidRPr="00D96442" w:rsidRDefault="00EB56D5" w:rsidP="00EB56D5">
      <w:pPr>
        <w:jc w:val="both"/>
        <w:rPr>
          <w:bCs/>
          <w:lang w:val="en-US"/>
        </w:rPr>
      </w:pPr>
      <w:r w:rsidRPr="00553960">
        <w:rPr>
          <w:bCs/>
        </w:rPr>
        <w:t xml:space="preserve">Comitê Gestor da Internet no Brasil – CGI.br. (no prelo). </w:t>
      </w:r>
      <w:r w:rsidRPr="00553960">
        <w:rPr>
          <w:bCs/>
          <w:i/>
        </w:rPr>
        <w:t>Pesquisa sobre o uso das tecnologias de informação e comunicação</w:t>
      </w:r>
      <w:r>
        <w:rPr>
          <w:bCs/>
          <w:i/>
        </w:rPr>
        <w:t xml:space="preserve"> </w:t>
      </w:r>
      <w:r w:rsidRPr="00B60A4E">
        <w:rPr>
          <w:bCs/>
          <w:i/>
        </w:rPr>
        <w:t>nos domicílios brasileiros</w:t>
      </w:r>
      <w:r>
        <w:rPr>
          <w:bCs/>
          <w:i/>
        </w:rPr>
        <w:t>:</w:t>
      </w:r>
      <w:r w:rsidRPr="00553960">
        <w:rPr>
          <w:bCs/>
          <w:i/>
        </w:rPr>
        <w:t xml:space="preserve"> TIC Domicílios 2019</w:t>
      </w:r>
      <w:r w:rsidRPr="00553960">
        <w:rPr>
          <w:bCs/>
        </w:rPr>
        <w:t xml:space="preserve">. </w:t>
      </w:r>
      <w:r w:rsidRPr="00553960">
        <w:rPr>
          <w:bCs/>
          <w:lang w:val="en-US"/>
        </w:rPr>
        <w:t>São Paulo: CGI.br.</w:t>
      </w:r>
    </w:p>
    <w:p w14:paraId="7203FD99" w14:textId="77777777" w:rsidR="00EB56D5" w:rsidRPr="00442A48" w:rsidRDefault="00EB56D5" w:rsidP="00EB56D5">
      <w:pPr>
        <w:widowControl w:val="0"/>
        <w:autoSpaceDE w:val="0"/>
        <w:autoSpaceDN w:val="0"/>
        <w:adjustRightInd w:val="0"/>
        <w:rPr>
          <w:noProof/>
          <w:sz w:val="20"/>
          <w:lang w:val="en-US"/>
        </w:rPr>
      </w:pPr>
      <w:r w:rsidRPr="00442A48">
        <w:rPr>
          <w:noProof/>
          <w:sz w:val="20"/>
          <w:lang w:val="en-US"/>
        </w:rPr>
        <w:t>Dever, J</w:t>
      </w:r>
      <w:r>
        <w:rPr>
          <w:noProof/>
          <w:sz w:val="20"/>
          <w:lang w:val="en-US"/>
        </w:rPr>
        <w:t>.</w:t>
      </w:r>
      <w:r w:rsidRPr="00442A48">
        <w:rPr>
          <w:noProof/>
          <w:sz w:val="20"/>
          <w:lang w:val="en-US"/>
        </w:rPr>
        <w:t xml:space="preserve"> A. </w:t>
      </w:r>
      <w:r>
        <w:rPr>
          <w:noProof/>
          <w:sz w:val="20"/>
          <w:lang w:val="en-US"/>
        </w:rPr>
        <w:t>(</w:t>
      </w:r>
      <w:r w:rsidRPr="00442A48">
        <w:rPr>
          <w:noProof/>
          <w:sz w:val="20"/>
          <w:lang w:val="en-US"/>
        </w:rPr>
        <w:t>2018</w:t>
      </w:r>
      <w:r>
        <w:rPr>
          <w:noProof/>
          <w:sz w:val="20"/>
          <w:lang w:val="en-US"/>
        </w:rPr>
        <w:t>)</w:t>
      </w:r>
      <w:r w:rsidRPr="00442A48">
        <w:rPr>
          <w:noProof/>
          <w:sz w:val="20"/>
          <w:lang w:val="en-US"/>
        </w:rPr>
        <w:t xml:space="preserve">. Combining </w:t>
      </w:r>
      <w:r>
        <w:rPr>
          <w:noProof/>
          <w:sz w:val="20"/>
          <w:lang w:val="en-US"/>
        </w:rPr>
        <w:t>p</w:t>
      </w:r>
      <w:r w:rsidRPr="00442A48">
        <w:rPr>
          <w:noProof/>
          <w:sz w:val="20"/>
          <w:lang w:val="en-US"/>
        </w:rPr>
        <w:t xml:space="preserve">robability and </w:t>
      </w:r>
      <w:r>
        <w:rPr>
          <w:noProof/>
          <w:sz w:val="20"/>
          <w:lang w:val="en-US"/>
        </w:rPr>
        <w:t>n</w:t>
      </w:r>
      <w:r w:rsidRPr="00442A48">
        <w:rPr>
          <w:noProof/>
          <w:sz w:val="20"/>
          <w:lang w:val="en-US"/>
        </w:rPr>
        <w:t xml:space="preserve">onprobability </w:t>
      </w:r>
      <w:r>
        <w:rPr>
          <w:noProof/>
          <w:sz w:val="20"/>
          <w:lang w:val="en-US"/>
        </w:rPr>
        <w:t>s</w:t>
      </w:r>
      <w:r w:rsidRPr="00442A48">
        <w:rPr>
          <w:noProof/>
          <w:sz w:val="20"/>
          <w:lang w:val="en-US"/>
        </w:rPr>
        <w:t xml:space="preserve">amples to </w:t>
      </w:r>
      <w:r>
        <w:rPr>
          <w:noProof/>
          <w:sz w:val="20"/>
          <w:lang w:val="en-US"/>
        </w:rPr>
        <w:t>f</w:t>
      </w:r>
      <w:r w:rsidRPr="00442A48">
        <w:rPr>
          <w:noProof/>
          <w:sz w:val="20"/>
          <w:lang w:val="en-US"/>
        </w:rPr>
        <w:t xml:space="preserve">orm </w:t>
      </w:r>
      <w:r>
        <w:rPr>
          <w:noProof/>
          <w:sz w:val="20"/>
          <w:lang w:val="en-US"/>
        </w:rPr>
        <w:t>e</w:t>
      </w:r>
      <w:r w:rsidRPr="00442A48">
        <w:rPr>
          <w:noProof/>
          <w:sz w:val="20"/>
          <w:lang w:val="en-US"/>
        </w:rPr>
        <w:t xml:space="preserve">fficient </w:t>
      </w:r>
      <w:r>
        <w:rPr>
          <w:noProof/>
          <w:sz w:val="20"/>
          <w:lang w:val="en-US"/>
        </w:rPr>
        <w:t>h</w:t>
      </w:r>
      <w:r w:rsidRPr="00442A48">
        <w:rPr>
          <w:noProof/>
          <w:sz w:val="20"/>
          <w:lang w:val="en-US"/>
        </w:rPr>
        <w:t xml:space="preserve">ybrid </w:t>
      </w:r>
      <w:r>
        <w:rPr>
          <w:noProof/>
          <w:sz w:val="20"/>
          <w:lang w:val="en-US"/>
        </w:rPr>
        <w:t>e</w:t>
      </w:r>
      <w:r w:rsidRPr="00442A48">
        <w:rPr>
          <w:noProof/>
          <w:sz w:val="20"/>
          <w:lang w:val="en-US"/>
        </w:rPr>
        <w:t xml:space="preserve">stimates: An </w:t>
      </w:r>
      <w:r>
        <w:rPr>
          <w:noProof/>
          <w:sz w:val="20"/>
          <w:lang w:val="en-US"/>
        </w:rPr>
        <w:t>e</w:t>
      </w:r>
      <w:r w:rsidRPr="00442A48">
        <w:rPr>
          <w:noProof/>
          <w:sz w:val="20"/>
          <w:lang w:val="en-US"/>
        </w:rPr>
        <w:t xml:space="preserve">valuation of the </w:t>
      </w:r>
      <w:r>
        <w:rPr>
          <w:noProof/>
          <w:sz w:val="20"/>
          <w:lang w:val="en-US"/>
        </w:rPr>
        <w:t>c</w:t>
      </w:r>
      <w:r w:rsidRPr="00442A48">
        <w:rPr>
          <w:noProof/>
          <w:sz w:val="20"/>
          <w:lang w:val="en-US"/>
        </w:rPr>
        <w:t xml:space="preserve">ommom </w:t>
      </w:r>
      <w:r>
        <w:rPr>
          <w:noProof/>
          <w:sz w:val="20"/>
          <w:lang w:val="en-US"/>
        </w:rPr>
        <w:t>s</w:t>
      </w:r>
      <w:r w:rsidRPr="00442A48">
        <w:rPr>
          <w:noProof/>
          <w:sz w:val="20"/>
          <w:lang w:val="en-US"/>
        </w:rPr>
        <w:t xml:space="preserve">upport </w:t>
      </w:r>
      <w:r>
        <w:rPr>
          <w:noProof/>
          <w:sz w:val="20"/>
          <w:lang w:val="en-US"/>
        </w:rPr>
        <w:t>a</w:t>
      </w:r>
      <w:r w:rsidRPr="00442A48">
        <w:rPr>
          <w:noProof/>
          <w:sz w:val="20"/>
          <w:lang w:val="en-US"/>
        </w:rPr>
        <w:t xml:space="preserve">ssumption. </w:t>
      </w:r>
      <w:r>
        <w:rPr>
          <w:noProof/>
          <w:sz w:val="20"/>
          <w:lang w:val="en-US"/>
        </w:rPr>
        <w:t xml:space="preserve">Proceedings of the </w:t>
      </w:r>
      <w:r w:rsidRPr="00442A48">
        <w:rPr>
          <w:i/>
          <w:iCs/>
          <w:noProof/>
          <w:sz w:val="20"/>
          <w:lang w:val="en-US"/>
        </w:rPr>
        <w:t>2018 Federal Committee on Statistical Methodology (FCSM) Research Conference</w:t>
      </w:r>
      <w:r w:rsidRPr="00442A48">
        <w:rPr>
          <w:noProof/>
          <w:sz w:val="20"/>
          <w:lang w:val="en-US"/>
        </w:rPr>
        <w:t xml:space="preserve">, </w:t>
      </w:r>
      <w:r>
        <w:rPr>
          <w:noProof/>
          <w:sz w:val="20"/>
          <w:lang w:val="en-US"/>
        </w:rPr>
        <w:t xml:space="preserve">Washington, Estados Unidos, </w:t>
      </w:r>
      <w:r w:rsidRPr="00442A48">
        <w:rPr>
          <w:noProof/>
          <w:sz w:val="20"/>
          <w:lang w:val="en-US"/>
        </w:rPr>
        <w:t>15.</w:t>
      </w:r>
    </w:p>
    <w:p w14:paraId="1E24D3CA" w14:textId="77777777" w:rsidR="00EB56D5" w:rsidRPr="00442A48" w:rsidRDefault="00EB56D5" w:rsidP="00EB56D5">
      <w:pPr>
        <w:widowControl w:val="0"/>
        <w:autoSpaceDE w:val="0"/>
        <w:autoSpaceDN w:val="0"/>
        <w:adjustRightInd w:val="0"/>
        <w:rPr>
          <w:noProof/>
          <w:sz w:val="20"/>
          <w:lang w:val="en-US"/>
        </w:rPr>
      </w:pPr>
      <w:r w:rsidRPr="00442A48">
        <w:rPr>
          <w:noProof/>
          <w:sz w:val="20"/>
          <w:lang w:val="en-US"/>
        </w:rPr>
        <w:t>Elliott, M</w:t>
      </w:r>
      <w:r w:rsidRPr="00553960">
        <w:rPr>
          <w:noProof/>
          <w:sz w:val="20"/>
          <w:lang w:val="en-US"/>
        </w:rPr>
        <w:t>.</w:t>
      </w:r>
      <w:r w:rsidRPr="00B60A4E">
        <w:rPr>
          <w:noProof/>
          <w:sz w:val="20"/>
          <w:lang w:val="en-US"/>
        </w:rPr>
        <w:t xml:space="preserve"> R. </w:t>
      </w:r>
      <w:r w:rsidRPr="00AF093B">
        <w:rPr>
          <w:noProof/>
          <w:sz w:val="20"/>
          <w:lang w:val="en-US"/>
        </w:rPr>
        <w:t>(</w:t>
      </w:r>
      <w:r w:rsidRPr="00B60A4E">
        <w:rPr>
          <w:noProof/>
          <w:sz w:val="20"/>
          <w:lang w:val="en-US"/>
        </w:rPr>
        <w:t>2009).</w:t>
      </w:r>
      <w:r w:rsidRPr="00442A48">
        <w:rPr>
          <w:noProof/>
          <w:sz w:val="20"/>
          <w:lang w:val="en-US"/>
        </w:rPr>
        <w:t xml:space="preserve"> Combining </w:t>
      </w:r>
      <w:r>
        <w:rPr>
          <w:noProof/>
          <w:sz w:val="20"/>
          <w:lang w:val="en-US"/>
        </w:rPr>
        <w:t>d</w:t>
      </w:r>
      <w:r w:rsidRPr="00442A48">
        <w:rPr>
          <w:noProof/>
          <w:sz w:val="20"/>
          <w:lang w:val="en-US"/>
        </w:rPr>
        <w:t xml:space="preserve">ata from </w:t>
      </w:r>
      <w:r>
        <w:rPr>
          <w:noProof/>
          <w:sz w:val="20"/>
          <w:lang w:val="en-US"/>
        </w:rPr>
        <w:t>p</w:t>
      </w:r>
      <w:r w:rsidRPr="00442A48">
        <w:rPr>
          <w:noProof/>
          <w:sz w:val="20"/>
          <w:lang w:val="en-US"/>
        </w:rPr>
        <w:t xml:space="preserve">robability and </w:t>
      </w:r>
      <w:r>
        <w:rPr>
          <w:noProof/>
          <w:sz w:val="20"/>
          <w:lang w:val="en-US"/>
        </w:rPr>
        <w:t>n</w:t>
      </w:r>
      <w:r w:rsidRPr="00442A48">
        <w:rPr>
          <w:noProof/>
          <w:sz w:val="20"/>
          <w:lang w:val="en-US"/>
        </w:rPr>
        <w:t>on-</w:t>
      </w:r>
      <w:r>
        <w:rPr>
          <w:noProof/>
          <w:sz w:val="20"/>
          <w:lang w:val="en-US"/>
        </w:rPr>
        <w:t>p</w:t>
      </w:r>
      <w:r w:rsidRPr="00442A48">
        <w:rPr>
          <w:noProof/>
          <w:sz w:val="20"/>
          <w:lang w:val="en-US"/>
        </w:rPr>
        <w:t xml:space="preserve">robability </w:t>
      </w:r>
      <w:r>
        <w:rPr>
          <w:noProof/>
          <w:sz w:val="20"/>
          <w:lang w:val="en-US"/>
        </w:rPr>
        <w:t>s</w:t>
      </w:r>
      <w:r w:rsidRPr="00442A48">
        <w:rPr>
          <w:noProof/>
          <w:sz w:val="20"/>
          <w:lang w:val="en-US"/>
        </w:rPr>
        <w:t xml:space="preserve">amples </w:t>
      </w:r>
      <w:r>
        <w:rPr>
          <w:noProof/>
          <w:sz w:val="20"/>
          <w:lang w:val="en-US"/>
        </w:rPr>
        <w:t>u</w:t>
      </w:r>
      <w:r w:rsidRPr="00442A48">
        <w:rPr>
          <w:noProof/>
          <w:sz w:val="20"/>
          <w:lang w:val="en-US"/>
        </w:rPr>
        <w:t xml:space="preserve">sing </w:t>
      </w:r>
      <w:r>
        <w:rPr>
          <w:noProof/>
          <w:sz w:val="20"/>
          <w:lang w:val="en-US"/>
        </w:rPr>
        <w:t>p</w:t>
      </w:r>
      <w:r w:rsidRPr="00442A48">
        <w:rPr>
          <w:noProof/>
          <w:sz w:val="20"/>
          <w:lang w:val="en-US"/>
        </w:rPr>
        <w:t>seudo-</w:t>
      </w:r>
      <w:r>
        <w:rPr>
          <w:noProof/>
          <w:sz w:val="20"/>
          <w:lang w:val="en-US"/>
        </w:rPr>
        <w:t>w</w:t>
      </w:r>
      <w:r w:rsidRPr="00442A48">
        <w:rPr>
          <w:noProof/>
          <w:sz w:val="20"/>
          <w:lang w:val="en-US"/>
        </w:rPr>
        <w:t xml:space="preserve">eights. </w:t>
      </w:r>
      <w:r w:rsidRPr="00442A48">
        <w:rPr>
          <w:i/>
          <w:iCs/>
          <w:noProof/>
          <w:sz w:val="20"/>
          <w:lang w:val="en-US"/>
        </w:rPr>
        <w:t>Survey Practice</w:t>
      </w:r>
      <w:r>
        <w:rPr>
          <w:iCs/>
          <w:noProof/>
          <w:sz w:val="20"/>
          <w:lang w:val="en-US"/>
        </w:rPr>
        <w:t>,</w:t>
      </w:r>
      <w:r w:rsidRPr="00442A48">
        <w:rPr>
          <w:noProof/>
          <w:sz w:val="20"/>
          <w:lang w:val="en-US"/>
        </w:rPr>
        <w:t xml:space="preserve"> </w:t>
      </w:r>
      <w:r w:rsidRPr="00553960">
        <w:rPr>
          <w:i/>
          <w:noProof/>
          <w:sz w:val="20"/>
          <w:lang w:val="en-US"/>
        </w:rPr>
        <w:t>2</w:t>
      </w:r>
      <w:r w:rsidRPr="00442A48">
        <w:rPr>
          <w:noProof/>
          <w:sz w:val="20"/>
          <w:lang w:val="en-US"/>
        </w:rPr>
        <w:t>(6)</w:t>
      </w:r>
      <w:r>
        <w:rPr>
          <w:noProof/>
          <w:sz w:val="20"/>
          <w:lang w:val="en-US"/>
        </w:rPr>
        <w:t>,</w:t>
      </w:r>
      <w:r w:rsidRPr="00442A48">
        <w:rPr>
          <w:noProof/>
          <w:sz w:val="20"/>
          <w:lang w:val="en-US"/>
        </w:rPr>
        <w:t xml:space="preserve"> 1–7. </w:t>
      </w:r>
    </w:p>
    <w:p w14:paraId="05DDB3F1" w14:textId="77777777" w:rsidR="00EB56D5" w:rsidRPr="00442A48" w:rsidRDefault="00EB56D5" w:rsidP="00EB56D5">
      <w:pPr>
        <w:widowControl w:val="0"/>
        <w:autoSpaceDE w:val="0"/>
        <w:autoSpaceDN w:val="0"/>
        <w:adjustRightInd w:val="0"/>
        <w:rPr>
          <w:noProof/>
          <w:sz w:val="20"/>
          <w:lang w:val="en-US"/>
        </w:rPr>
      </w:pPr>
      <w:r w:rsidRPr="00442A48">
        <w:rPr>
          <w:noProof/>
          <w:sz w:val="20"/>
          <w:lang w:val="en-US"/>
        </w:rPr>
        <w:t>Elliott, M</w:t>
      </w:r>
      <w:r>
        <w:rPr>
          <w:noProof/>
          <w:sz w:val="20"/>
          <w:lang w:val="en-US"/>
        </w:rPr>
        <w:t>.</w:t>
      </w:r>
      <w:r w:rsidRPr="00442A48">
        <w:rPr>
          <w:noProof/>
          <w:sz w:val="20"/>
          <w:lang w:val="en-US"/>
        </w:rPr>
        <w:t xml:space="preserve"> R., </w:t>
      </w:r>
      <w:r>
        <w:rPr>
          <w:noProof/>
          <w:sz w:val="20"/>
          <w:lang w:val="en-US"/>
        </w:rPr>
        <w:t xml:space="preserve">&amp; </w:t>
      </w:r>
      <w:r w:rsidRPr="00442A48">
        <w:rPr>
          <w:noProof/>
          <w:sz w:val="20"/>
          <w:lang w:val="en-US"/>
        </w:rPr>
        <w:t>Valliant</w:t>
      </w:r>
      <w:r>
        <w:rPr>
          <w:noProof/>
          <w:sz w:val="20"/>
          <w:lang w:val="en-US"/>
        </w:rPr>
        <w:t>, R</w:t>
      </w:r>
      <w:r w:rsidRPr="00442A48">
        <w:rPr>
          <w:noProof/>
          <w:sz w:val="20"/>
          <w:lang w:val="en-US"/>
        </w:rPr>
        <w:t xml:space="preserve">. </w:t>
      </w:r>
      <w:r>
        <w:rPr>
          <w:noProof/>
          <w:sz w:val="20"/>
          <w:lang w:val="en-US"/>
        </w:rPr>
        <w:t>(</w:t>
      </w:r>
      <w:r w:rsidRPr="00442A48">
        <w:rPr>
          <w:noProof/>
          <w:sz w:val="20"/>
          <w:lang w:val="en-US"/>
        </w:rPr>
        <w:t>2017</w:t>
      </w:r>
      <w:r>
        <w:rPr>
          <w:noProof/>
          <w:sz w:val="20"/>
          <w:lang w:val="en-US"/>
        </w:rPr>
        <w:t>)</w:t>
      </w:r>
      <w:r w:rsidRPr="00442A48">
        <w:rPr>
          <w:noProof/>
          <w:sz w:val="20"/>
          <w:lang w:val="en-US"/>
        </w:rPr>
        <w:t xml:space="preserve">. Inference for </w:t>
      </w:r>
      <w:r>
        <w:rPr>
          <w:noProof/>
          <w:sz w:val="20"/>
          <w:lang w:val="en-US"/>
        </w:rPr>
        <w:t>n</w:t>
      </w:r>
      <w:r w:rsidRPr="00442A48">
        <w:rPr>
          <w:noProof/>
          <w:sz w:val="20"/>
          <w:lang w:val="en-US"/>
        </w:rPr>
        <w:t xml:space="preserve">onprobability </w:t>
      </w:r>
      <w:r>
        <w:rPr>
          <w:noProof/>
          <w:sz w:val="20"/>
          <w:lang w:val="en-US"/>
        </w:rPr>
        <w:t>s</w:t>
      </w:r>
      <w:r w:rsidRPr="00442A48">
        <w:rPr>
          <w:noProof/>
          <w:sz w:val="20"/>
          <w:lang w:val="en-US"/>
        </w:rPr>
        <w:t xml:space="preserve">amples. </w:t>
      </w:r>
      <w:r w:rsidRPr="00442A48">
        <w:rPr>
          <w:i/>
          <w:iCs/>
          <w:noProof/>
          <w:sz w:val="20"/>
          <w:lang w:val="en-US"/>
        </w:rPr>
        <w:t>Statistical Science</w:t>
      </w:r>
      <w:r>
        <w:rPr>
          <w:i/>
          <w:iCs/>
          <w:noProof/>
          <w:sz w:val="20"/>
          <w:lang w:val="en-US"/>
        </w:rPr>
        <w:t>,</w:t>
      </w:r>
      <w:r w:rsidRPr="00442A48">
        <w:rPr>
          <w:noProof/>
          <w:sz w:val="20"/>
          <w:lang w:val="en-US"/>
        </w:rPr>
        <w:t xml:space="preserve"> </w:t>
      </w:r>
      <w:r w:rsidRPr="00553960">
        <w:rPr>
          <w:i/>
          <w:noProof/>
          <w:sz w:val="20"/>
          <w:lang w:val="en-US"/>
        </w:rPr>
        <w:t>32</w:t>
      </w:r>
      <w:r w:rsidRPr="00442A48">
        <w:rPr>
          <w:noProof/>
          <w:sz w:val="20"/>
          <w:lang w:val="en-US"/>
        </w:rPr>
        <w:t>(2)</w:t>
      </w:r>
      <w:r>
        <w:rPr>
          <w:noProof/>
          <w:sz w:val="20"/>
          <w:lang w:val="en-US"/>
        </w:rPr>
        <w:t>,</w:t>
      </w:r>
      <w:r w:rsidRPr="00442A48">
        <w:rPr>
          <w:noProof/>
          <w:sz w:val="20"/>
          <w:lang w:val="en-US"/>
        </w:rPr>
        <w:t xml:space="preserve"> 249–64. </w:t>
      </w:r>
    </w:p>
    <w:p w14:paraId="254CE9F0" w14:textId="77777777" w:rsidR="00EB56D5" w:rsidRDefault="00EB56D5" w:rsidP="00EB56D5">
      <w:pPr>
        <w:widowControl w:val="0"/>
        <w:autoSpaceDE w:val="0"/>
        <w:autoSpaceDN w:val="0"/>
        <w:adjustRightInd w:val="0"/>
        <w:rPr>
          <w:noProof/>
          <w:sz w:val="20"/>
          <w:lang w:val="en-US"/>
        </w:rPr>
      </w:pPr>
      <w:r w:rsidRPr="00442A48">
        <w:rPr>
          <w:noProof/>
          <w:sz w:val="20"/>
          <w:lang w:val="en-US"/>
        </w:rPr>
        <w:t>Little, R</w:t>
      </w:r>
      <w:r>
        <w:rPr>
          <w:noProof/>
          <w:sz w:val="20"/>
          <w:lang w:val="en-US"/>
        </w:rPr>
        <w:t>.</w:t>
      </w:r>
      <w:r w:rsidRPr="00442A48">
        <w:rPr>
          <w:noProof/>
          <w:sz w:val="20"/>
          <w:lang w:val="en-US"/>
        </w:rPr>
        <w:t xml:space="preserve"> J. A., </w:t>
      </w:r>
      <w:r>
        <w:rPr>
          <w:noProof/>
          <w:sz w:val="20"/>
          <w:lang w:val="en-US"/>
        </w:rPr>
        <w:t>&amp;</w:t>
      </w:r>
      <w:r w:rsidRPr="00442A48">
        <w:rPr>
          <w:noProof/>
          <w:sz w:val="20"/>
          <w:lang w:val="en-US"/>
        </w:rPr>
        <w:t xml:space="preserve"> </w:t>
      </w:r>
      <w:r>
        <w:rPr>
          <w:noProof/>
          <w:sz w:val="20"/>
          <w:lang w:val="en-US"/>
        </w:rPr>
        <w:t xml:space="preserve">Rubin, </w:t>
      </w:r>
      <w:r w:rsidRPr="00442A48">
        <w:rPr>
          <w:noProof/>
          <w:sz w:val="20"/>
          <w:lang w:val="en-US"/>
        </w:rPr>
        <w:t>D</w:t>
      </w:r>
      <w:r>
        <w:rPr>
          <w:noProof/>
          <w:sz w:val="20"/>
          <w:lang w:val="en-US"/>
        </w:rPr>
        <w:t>.</w:t>
      </w:r>
      <w:r w:rsidRPr="00442A48">
        <w:rPr>
          <w:noProof/>
          <w:sz w:val="20"/>
          <w:lang w:val="en-US"/>
        </w:rPr>
        <w:t xml:space="preserve"> B. </w:t>
      </w:r>
      <w:r>
        <w:rPr>
          <w:noProof/>
          <w:sz w:val="20"/>
          <w:lang w:val="en-US"/>
        </w:rPr>
        <w:t>(</w:t>
      </w:r>
      <w:r w:rsidRPr="00442A48">
        <w:rPr>
          <w:noProof/>
          <w:sz w:val="20"/>
          <w:lang w:val="en-US"/>
        </w:rPr>
        <w:t>2002</w:t>
      </w:r>
      <w:r>
        <w:rPr>
          <w:noProof/>
          <w:sz w:val="20"/>
          <w:lang w:val="en-US"/>
        </w:rPr>
        <w:t>)</w:t>
      </w:r>
      <w:r w:rsidRPr="00442A48">
        <w:rPr>
          <w:noProof/>
          <w:sz w:val="20"/>
          <w:lang w:val="en-US"/>
        </w:rPr>
        <w:t xml:space="preserve">. </w:t>
      </w:r>
      <w:r w:rsidRPr="00442A48">
        <w:rPr>
          <w:i/>
          <w:iCs/>
          <w:noProof/>
          <w:sz w:val="20"/>
          <w:lang w:val="en-US"/>
        </w:rPr>
        <w:t xml:space="preserve">Statistical </w:t>
      </w:r>
      <w:r>
        <w:rPr>
          <w:i/>
          <w:iCs/>
          <w:noProof/>
          <w:sz w:val="20"/>
          <w:lang w:val="en-US"/>
        </w:rPr>
        <w:t>a</w:t>
      </w:r>
      <w:r w:rsidRPr="00442A48">
        <w:rPr>
          <w:i/>
          <w:iCs/>
          <w:noProof/>
          <w:sz w:val="20"/>
          <w:lang w:val="en-US"/>
        </w:rPr>
        <w:t xml:space="preserve">nalysis with </w:t>
      </w:r>
      <w:r>
        <w:rPr>
          <w:i/>
          <w:iCs/>
          <w:noProof/>
          <w:sz w:val="20"/>
          <w:lang w:val="en-US"/>
        </w:rPr>
        <w:t>m</w:t>
      </w:r>
      <w:r w:rsidRPr="00442A48">
        <w:rPr>
          <w:i/>
          <w:iCs/>
          <w:noProof/>
          <w:sz w:val="20"/>
          <w:lang w:val="en-US"/>
        </w:rPr>
        <w:t xml:space="preserve">issing </w:t>
      </w:r>
      <w:r>
        <w:rPr>
          <w:i/>
          <w:iCs/>
          <w:noProof/>
          <w:sz w:val="20"/>
          <w:lang w:val="en-US"/>
        </w:rPr>
        <w:t>d</w:t>
      </w:r>
      <w:r w:rsidRPr="00442A48">
        <w:rPr>
          <w:i/>
          <w:iCs/>
          <w:noProof/>
          <w:sz w:val="20"/>
          <w:lang w:val="en-US"/>
        </w:rPr>
        <w:t>ata</w:t>
      </w:r>
      <w:r w:rsidRPr="00442A48">
        <w:rPr>
          <w:noProof/>
          <w:sz w:val="20"/>
          <w:lang w:val="en-US"/>
        </w:rPr>
        <w:t xml:space="preserve">. </w:t>
      </w:r>
      <w:r w:rsidRPr="00442A48">
        <w:rPr>
          <w:i/>
          <w:iCs/>
          <w:noProof/>
          <w:sz w:val="20"/>
          <w:lang w:val="en-US"/>
        </w:rPr>
        <w:t>Wiley Series in Probability and Statistics</w:t>
      </w:r>
      <w:r w:rsidRPr="00442A48">
        <w:rPr>
          <w:noProof/>
          <w:sz w:val="20"/>
          <w:lang w:val="en-US"/>
        </w:rPr>
        <w:t>.</w:t>
      </w:r>
    </w:p>
    <w:p w14:paraId="12B7574F" w14:textId="77777777" w:rsidR="00EB56D5" w:rsidRPr="00553960" w:rsidRDefault="00EB56D5" w:rsidP="00EB56D5">
      <w:pPr>
        <w:widowControl w:val="0"/>
        <w:autoSpaceDE w:val="0"/>
        <w:autoSpaceDN w:val="0"/>
        <w:adjustRightInd w:val="0"/>
        <w:rPr>
          <w:noProof/>
          <w:sz w:val="20"/>
        </w:rPr>
      </w:pPr>
      <w:r>
        <w:rPr>
          <w:noProof/>
          <w:sz w:val="20"/>
          <w:lang w:val="en-US"/>
        </w:rPr>
        <w:t xml:space="preserve">União Internacional de Telecomunicações – UIT. (2014). </w:t>
      </w:r>
      <w:r w:rsidRPr="00553960">
        <w:rPr>
          <w:i/>
          <w:noProof/>
          <w:sz w:val="20"/>
          <w:lang w:val="en-US"/>
        </w:rPr>
        <w:t>Manual for measuring ICT access and use by households and individuals 2014</w:t>
      </w:r>
      <w:r>
        <w:rPr>
          <w:noProof/>
          <w:sz w:val="20"/>
          <w:lang w:val="en-US"/>
        </w:rPr>
        <w:t xml:space="preserve">. </w:t>
      </w:r>
      <w:r w:rsidRPr="00553960">
        <w:rPr>
          <w:noProof/>
          <w:sz w:val="20"/>
        </w:rPr>
        <w:t>Recuperado em 1 agosto, 2020, de http://www.itu.int/dms_pub/itu-d/opb/ind/D-IND-ITCMEAS-2014-PDF-E.pdf</w:t>
      </w:r>
    </w:p>
    <w:p w14:paraId="1E9D313E" w14:textId="77777777" w:rsidR="00EB56D5" w:rsidRPr="00442A48" w:rsidRDefault="00EB56D5" w:rsidP="00EB56D5">
      <w:pPr>
        <w:widowControl w:val="0"/>
        <w:autoSpaceDE w:val="0"/>
        <w:autoSpaceDN w:val="0"/>
        <w:adjustRightInd w:val="0"/>
        <w:rPr>
          <w:noProof/>
          <w:sz w:val="20"/>
          <w:lang w:val="en-US"/>
        </w:rPr>
      </w:pPr>
      <w:r w:rsidRPr="00442A48">
        <w:rPr>
          <w:noProof/>
          <w:sz w:val="20"/>
          <w:lang w:val="en-US"/>
        </w:rPr>
        <w:t xml:space="preserve">Valliant, R. </w:t>
      </w:r>
      <w:r>
        <w:rPr>
          <w:noProof/>
          <w:sz w:val="20"/>
          <w:lang w:val="en-US"/>
        </w:rPr>
        <w:t>(</w:t>
      </w:r>
      <w:r w:rsidRPr="00442A48">
        <w:rPr>
          <w:noProof/>
          <w:sz w:val="20"/>
          <w:lang w:val="en-US"/>
        </w:rPr>
        <w:t>2019</w:t>
      </w:r>
      <w:r>
        <w:rPr>
          <w:noProof/>
          <w:sz w:val="20"/>
          <w:lang w:val="en-US"/>
        </w:rPr>
        <w:t>)</w:t>
      </w:r>
      <w:r w:rsidRPr="00442A48">
        <w:rPr>
          <w:noProof/>
          <w:sz w:val="20"/>
          <w:lang w:val="en-US"/>
        </w:rPr>
        <w:t xml:space="preserve">. Comparing </w:t>
      </w:r>
      <w:r>
        <w:rPr>
          <w:noProof/>
          <w:sz w:val="20"/>
          <w:lang w:val="en-US"/>
        </w:rPr>
        <w:t>a</w:t>
      </w:r>
      <w:r w:rsidRPr="00442A48">
        <w:rPr>
          <w:noProof/>
          <w:sz w:val="20"/>
          <w:lang w:val="en-US"/>
        </w:rPr>
        <w:t xml:space="preserve">lternatives for </w:t>
      </w:r>
      <w:r>
        <w:rPr>
          <w:noProof/>
          <w:sz w:val="20"/>
          <w:lang w:val="en-US"/>
        </w:rPr>
        <w:t>e</w:t>
      </w:r>
      <w:r w:rsidRPr="00442A48">
        <w:rPr>
          <w:noProof/>
          <w:sz w:val="20"/>
          <w:lang w:val="en-US"/>
        </w:rPr>
        <w:t xml:space="preserve">stimation from </w:t>
      </w:r>
      <w:r>
        <w:rPr>
          <w:noProof/>
          <w:sz w:val="20"/>
          <w:lang w:val="en-US"/>
        </w:rPr>
        <w:t>n</w:t>
      </w:r>
      <w:r w:rsidRPr="00442A48">
        <w:rPr>
          <w:noProof/>
          <w:sz w:val="20"/>
          <w:lang w:val="en-US"/>
        </w:rPr>
        <w:t xml:space="preserve">onprobability </w:t>
      </w:r>
      <w:r>
        <w:rPr>
          <w:noProof/>
          <w:sz w:val="20"/>
          <w:lang w:val="en-US"/>
        </w:rPr>
        <w:t>s</w:t>
      </w:r>
      <w:r w:rsidRPr="00442A48">
        <w:rPr>
          <w:noProof/>
          <w:sz w:val="20"/>
          <w:lang w:val="en-US"/>
        </w:rPr>
        <w:t xml:space="preserve">amples. </w:t>
      </w:r>
      <w:r w:rsidRPr="00442A48">
        <w:rPr>
          <w:i/>
          <w:iCs/>
          <w:noProof/>
          <w:sz w:val="20"/>
          <w:lang w:val="en-US"/>
        </w:rPr>
        <w:t>Journal of Survey Statistics and Methodology</w:t>
      </w:r>
      <w:r w:rsidRPr="00442A48">
        <w:rPr>
          <w:noProof/>
          <w:sz w:val="20"/>
          <w:lang w:val="en-US"/>
        </w:rPr>
        <w:t xml:space="preserve">, </w:t>
      </w:r>
      <w:r w:rsidRPr="00553960">
        <w:rPr>
          <w:i/>
          <w:noProof/>
          <w:sz w:val="20"/>
          <w:lang w:val="en-US"/>
        </w:rPr>
        <w:t>8</w:t>
      </w:r>
      <w:r>
        <w:rPr>
          <w:noProof/>
          <w:sz w:val="20"/>
          <w:lang w:val="en-US"/>
        </w:rPr>
        <w:t>(2), 231</w:t>
      </w:r>
      <w:r w:rsidRPr="00442A48">
        <w:rPr>
          <w:noProof/>
          <w:sz w:val="20"/>
          <w:lang w:val="en-US"/>
        </w:rPr>
        <w:t>–</w:t>
      </w:r>
      <w:r>
        <w:rPr>
          <w:noProof/>
          <w:sz w:val="20"/>
          <w:lang w:val="en-US"/>
        </w:rPr>
        <w:t>263</w:t>
      </w:r>
      <w:r w:rsidRPr="00442A48">
        <w:rPr>
          <w:noProof/>
          <w:sz w:val="20"/>
          <w:lang w:val="en-US"/>
        </w:rPr>
        <w:t>.</w:t>
      </w:r>
    </w:p>
    <w:p w14:paraId="00D6DEE3" w14:textId="2D6F11FD" w:rsidR="00C775A1" w:rsidRPr="00531A0F" w:rsidRDefault="00EB56D5" w:rsidP="0020183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442A48">
        <w:rPr>
          <w:noProof/>
          <w:sz w:val="20"/>
          <w:lang w:val="en-US"/>
        </w:rPr>
        <w:t>Valliant, R</w:t>
      </w:r>
      <w:r>
        <w:rPr>
          <w:noProof/>
          <w:sz w:val="20"/>
          <w:lang w:val="en-US"/>
        </w:rPr>
        <w:t>.,</w:t>
      </w:r>
      <w:r w:rsidRPr="00442A48">
        <w:rPr>
          <w:noProof/>
          <w:sz w:val="20"/>
          <w:lang w:val="en-US"/>
        </w:rPr>
        <w:t xml:space="preserve"> </w:t>
      </w:r>
      <w:r>
        <w:rPr>
          <w:noProof/>
          <w:sz w:val="20"/>
          <w:lang w:val="en-US"/>
        </w:rPr>
        <w:t>&amp;</w:t>
      </w:r>
      <w:r w:rsidRPr="00442A48">
        <w:rPr>
          <w:noProof/>
          <w:sz w:val="20"/>
          <w:lang w:val="en-US"/>
        </w:rPr>
        <w:t xml:space="preserve"> </w:t>
      </w:r>
      <w:r w:rsidRPr="0024341D">
        <w:rPr>
          <w:noProof/>
          <w:sz w:val="20"/>
          <w:lang w:val="en-US"/>
        </w:rPr>
        <w:t>Dever, J</w:t>
      </w:r>
      <w:r>
        <w:rPr>
          <w:noProof/>
          <w:sz w:val="20"/>
          <w:lang w:val="en-US"/>
        </w:rPr>
        <w:t>. A. (</w:t>
      </w:r>
      <w:r w:rsidRPr="00442A48">
        <w:rPr>
          <w:noProof/>
          <w:sz w:val="20"/>
          <w:lang w:val="en-US"/>
        </w:rPr>
        <w:t>2011</w:t>
      </w:r>
      <w:r>
        <w:rPr>
          <w:noProof/>
          <w:sz w:val="20"/>
          <w:lang w:val="en-US"/>
        </w:rPr>
        <w:t>)</w:t>
      </w:r>
      <w:r w:rsidRPr="00442A48">
        <w:rPr>
          <w:noProof/>
          <w:sz w:val="20"/>
          <w:lang w:val="en-US"/>
        </w:rPr>
        <w:t xml:space="preserve">. </w:t>
      </w:r>
      <w:r w:rsidRPr="00442A48">
        <w:rPr>
          <w:i/>
          <w:iCs/>
          <w:noProof/>
          <w:sz w:val="20"/>
          <w:lang w:val="en-US"/>
        </w:rPr>
        <w:t xml:space="preserve">Estimating </w:t>
      </w:r>
      <w:r>
        <w:rPr>
          <w:i/>
          <w:iCs/>
          <w:noProof/>
          <w:sz w:val="20"/>
          <w:lang w:val="en-US"/>
        </w:rPr>
        <w:t>p</w:t>
      </w:r>
      <w:r w:rsidRPr="00442A48">
        <w:rPr>
          <w:i/>
          <w:iCs/>
          <w:noProof/>
          <w:sz w:val="20"/>
          <w:lang w:val="en-US"/>
        </w:rPr>
        <w:t xml:space="preserve">ropensity </w:t>
      </w:r>
      <w:r>
        <w:rPr>
          <w:i/>
          <w:iCs/>
          <w:noProof/>
          <w:sz w:val="20"/>
          <w:lang w:val="en-US"/>
        </w:rPr>
        <w:t>a</w:t>
      </w:r>
      <w:r w:rsidRPr="00442A48">
        <w:rPr>
          <w:i/>
          <w:iCs/>
          <w:noProof/>
          <w:sz w:val="20"/>
          <w:lang w:val="en-US"/>
        </w:rPr>
        <w:t xml:space="preserve">djustments for </w:t>
      </w:r>
      <w:r>
        <w:rPr>
          <w:i/>
          <w:iCs/>
          <w:noProof/>
          <w:sz w:val="20"/>
          <w:lang w:val="en-US"/>
        </w:rPr>
        <w:t>v</w:t>
      </w:r>
      <w:r w:rsidRPr="00442A48">
        <w:rPr>
          <w:i/>
          <w:iCs/>
          <w:noProof/>
          <w:sz w:val="20"/>
          <w:lang w:val="en-US"/>
        </w:rPr>
        <w:t xml:space="preserve">olunteer </w:t>
      </w:r>
      <w:r>
        <w:rPr>
          <w:i/>
          <w:iCs/>
          <w:noProof/>
          <w:sz w:val="20"/>
          <w:lang w:val="en-US"/>
        </w:rPr>
        <w:t>w</w:t>
      </w:r>
      <w:r w:rsidRPr="00442A48">
        <w:rPr>
          <w:i/>
          <w:iCs/>
          <w:noProof/>
          <w:sz w:val="20"/>
          <w:lang w:val="en-US"/>
        </w:rPr>
        <w:t xml:space="preserve">eb </w:t>
      </w:r>
      <w:r>
        <w:rPr>
          <w:i/>
          <w:iCs/>
          <w:noProof/>
          <w:sz w:val="20"/>
          <w:lang w:val="en-US"/>
        </w:rPr>
        <w:t>s</w:t>
      </w:r>
      <w:r w:rsidRPr="00442A48">
        <w:rPr>
          <w:i/>
          <w:iCs/>
          <w:noProof/>
          <w:sz w:val="20"/>
          <w:lang w:val="en-US"/>
        </w:rPr>
        <w:t>urveys</w:t>
      </w:r>
      <w:r w:rsidRPr="00442A48">
        <w:rPr>
          <w:noProof/>
          <w:sz w:val="20"/>
          <w:lang w:val="en-US"/>
        </w:rPr>
        <w:t xml:space="preserve">. </w:t>
      </w:r>
      <w:r w:rsidRPr="008D5E63">
        <w:rPr>
          <w:i/>
          <w:iCs/>
          <w:noProof/>
          <w:sz w:val="20"/>
          <w:lang w:val="en-US"/>
        </w:rPr>
        <w:t>Sociological Methods and Research</w:t>
      </w:r>
      <w:r>
        <w:rPr>
          <w:iCs/>
          <w:noProof/>
          <w:sz w:val="20"/>
          <w:lang w:val="en-US"/>
        </w:rPr>
        <w:t xml:space="preserve">, </w:t>
      </w:r>
      <w:r w:rsidRPr="00553960">
        <w:rPr>
          <w:i/>
          <w:iCs/>
          <w:noProof/>
          <w:sz w:val="20"/>
          <w:lang w:val="en-US"/>
        </w:rPr>
        <w:t>40</w:t>
      </w:r>
      <w:r>
        <w:rPr>
          <w:iCs/>
          <w:noProof/>
          <w:sz w:val="20"/>
          <w:lang w:val="en-US"/>
        </w:rPr>
        <w:t>(1), 105</w:t>
      </w:r>
      <w:r w:rsidRPr="00442A48">
        <w:rPr>
          <w:noProof/>
          <w:sz w:val="20"/>
          <w:lang w:val="en-US"/>
        </w:rPr>
        <w:t>–</w:t>
      </w:r>
      <w:r>
        <w:rPr>
          <w:iCs/>
          <w:noProof/>
          <w:sz w:val="20"/>
          <w:lang w:val="en-US"/>
        </w:rPr>
        <w:t>137</w:t>
      </w:r>
      <w:r w:rsidRPr="008D5E63">
        <w:rPr>
          <w:noProof/>
          <w:sz w:val="20"/>
          <w:lang w:val="en-US"/>
        </w:rPr>
        <w:t>.</w:t>
      </w:r>
    </w:p>
    <w:sectPr w:rsidR="00C775A1" w:rsidRPr="00531A0F" w:rsidSect="007B24C4">
      <w:headerReference w:type="default" r:id="rId10"/>
      <w:footerReference w:type="default" r:id="rId11"/>
      <w:pgSz w:w="11906" w:h="16838"/>
      <w:pgMar w:top="2977" w:right="849" w:bottom="1843" w:left="85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62A95" w14:textId="77777777" w:rsidR="005D05F8" w:rsidRDefault="005D05F8" w:rsidP="005D67F5">
      <w:pPr>
        <w:spacing w:after="0" w:line="240" w:lineRule="auto"/>
      </w:pPr>
      <w:r>
        <w:separator/>
      </w:r>
    </w:p>
  </w:endnote>
  <w:endnote w:type="continuationSeparator" w:id="0">
    <w:p w14:paraId="7E7467B5" w14:textId="77777777" w:rsidR="005D05F8" w:rsidRDefault="005D05F8" w:rsidP="005D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 LT Std">
    <w:altName w:val="Optima LT Std"/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DA02" w14:textId="77777777" w:rsidR="00B632DB" w:rsidRDefault="00DC3775" w:rsidP="007B24C4">
    <w:pPr>
      <w:pStyle w:val="Footer"/>
      <w:jc w:val="center"/>
    </w:pPr>
    <w:r>
      <w:rPr>
        <w:noProof/>
        <w:lang w:val="en-US"/>
      </w:rPr>
      <w:drawing>
        <wp:inline distT="0" distB="0" distL="0" distR="0" wp14:anchorId="6D138D5B" wp14:editId="29826BE0">
          <wp:extent cx="6099150" cy="860460"/>
          <wp:effectExtent l="0" t="0" r="0" b="317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ebmaster:Comunicacao:Papelaria:2016:CEPTRO.br:Papel de Carta:papel-de-carta-_nic_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99150" cy="860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363BA5" w14:textId="77777777" w:rsidR="00B632DB" w:rsidRDefault="00B63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A3FFC" w14:textId="77777777" w:rsidR="005D05F8" w:rsidRDefault="005D05F8" w:rsidP="005D67F5">
      <w:pPr>
        <w:spacing w:after="0" w:line="240" w:lineRule="auto"/>
      </w:pPr>
      <w:r>
        <w:separator/>
      </w:r>
    </w:p>
  </w:footnote>
  <w:footnote w:type="continuationSeparator" w:id="0">
    <w:p w14:paraId="0E7FEEA0" w14:textId="77777777" w:rsidR="005D05F8" w:rsidRDefault="005D05F8" w:rsidP="005D67F5">
      <w:pPr>
        <w:spacing w:after="0" w:line="240" w:lineRule="auto"/>
      </w:pPr>
      <w:r>
        <w:continuationSeparator/>
      </w:r>
    </w:p>
  </w:footnote>
  <w:footnote w:id="1">
    <w:p w14:paraId="560A7F9A" w14:textId="7805449F" w:rsidR="00EB56D5" w:rsidRPr="004A6A77" w:rsidRDefault="00EB56D5" w:rsidP="00EB56D5">
      <w:pPr>
        <w:pStyle w:val="FootnoteText"/>
        <w:rPr>
          <w:u w:val="single"/>
        </w:rPr>
      </w:pPr>
      <w:r>
        <w:rPr>
          <w:rStyle w:val="FootnoteReference"/>
        </w:rPr>
        <w:footnoteRef/>
      </w:r>
      <w:r>
        <w:t xml:space="preserve"> Maiores detalhes em no </w:t>
      </w:r>
      <w:r w:rsidRPr="00553960">
        <w:rPr>
          <w:i/>
        </w:rPr>
        <w:t>website</w:t>
      </w:r>
      <w:r>
        <w:t xml:space="preserve"> do Cetic.br. Recuperado em 1 agosto, 2020, de </w:t>
      </w:r>
      <w:r w:rsidRPr="00CB6535">
        <w:t>http://cetic.br/</w:t>
      </w:r>
      <w:r w:rsidR="002A796F">
        <w:t>‌</w:t>
      </w:r>
      <w:r w:rsidRPr="00CB6535">
        <w:t>media/</w:t>
      </w:r>
      <w:r w:rsidR="002A796F">
        <w:t>‌</w:t>
      </w:r>
      <w:r w:rsidRPr="00CB6535">
        <w:t>microdados/</w:t>
      </w:r>
      <w:r w:rsidR="002A796F">
        <w:t>‌</w:t>
      </w:r>
      <w:r w:rsidRPr="00CB6535">
        <w:t>256/</w:t>
      </w:r>
      <w:r w:rsidR="002A796F">
        <w:t>‌</w:t>
      </w:r>
      <w:r w:rsidRPr="00CB6535">
        <w:t>ticdom_</w:t>
      </w:r>
      <w:r w:rsidR="002A796F">
        <w:t>‌</w:t>
      </w:r>
      <w:r w:rsidRPr="00CB6535">
        <w:t>2019_relatorio_metodologico_v1.0.pdf</w:t>
      </w:r>
      <w:r>
        <w:t>.</w:t>
      </w:r>
    </w:p>
  </w:footnote>
  <w:footnote w:id="2">
    <w:p w14:paraId="6BCE1295" w14:textId="5EE62B47" w:rsidR="00EB56D5" w:rsidRDefault="00EB56D5" w:rsidP="005E10D1">
      <w:pPr>
        <w:pStyle w:val="FootnoteText"/>
      </w:pPr>
      <w:r>
        <w:rPr>
          <w:rStyle w:val="FootnoteReference"/>
        </w:rPr>
        <w:footnoteRef/>
      </w:r>
      <w:r>
        <w:t xml:space="preserve"> Maiores detalhes sobre as variáveis de calibração de usuários podem ser </w:t>
      </w:r>
      <w:r w:rsidR="002A796F">
        <w:t>obtidos</w:t>
      </w:r>
      <w:r>
        <w:t xml:space="preserve"> no capítulo </w:t>
      </w:r>
      <w:r>
        <w:rPr>
          <w:rFonts w:ascii="Calibri" w:hAnsi="Calibri"/>
        </w:rPr>
        <w:t>“</w:t>
      </w:r>
      <w:r>
        <w:t>Relatório Metodológico</w:t>
      </w:r>
      <w:r>
        <w:rPr>
          <w:rFonts w:ascii="Calibri" w:hAnsi="Calibri"/>
        </w:rPr>
        <w:t xml:space="preserve">” da pesquisa TIC Domicílios. Recuperado em </w:t>
      </w:r>
      <w:r w:rsidR="003F1A4A">
        <w:rPr>
          <w:rFonts w:ascii="Calibri" w:hAnsi="Calibri"/>
        </w:rPr>
        <w:t>3 fevereiro</w:t>
      </w:r>
      <w:r>
        <w:rPr>
          <w:rFonts w:ascii="Calibri" w:hAnsi="Calibri"/>
        </w:rPr>
        <w:t>, 202</w:t>
      </w:r>
      <w:r w:rsidR="003F1A4A">
        <w:rPr>
          <w:rFonts w:ascii="Calibri" w:hAnsi="Calibri"/>
        </w:rPr>
        <w:t>2</w:t>
      </w:r>
      <w:r>
        <w:rPr>
          <w:rFonts w:ascii="Calibri" w:hAnsi="Calibri"/>
        </w:rPr>
        <w:t xml:space="preserve">, de </w:t>
      </w:r>
      <w:r w:rsidR="002A796F" w:rsidRPr="00CB33CD">
        <w:rPr>
          <w:rFonts w:ascii="Calibri" w:hAnsi="Calibri"/>
        </w:rPr>
        <w:t>https://cetic.br/‌media/‌microdados/‌604/‌tic_‌domic%C3%ADlios_‌2020_‌relatorio_‌metodologico_‌v1.0.pdf</w:t>
      </w:r>
    </w:p>
  </w:footnote>
  <w:footnote w:id="3">
    <w:p w14:paraId="5BABBD96" w14:textId="5E8D490A" w:rsidR="00EB56D5" w:rsidRDefault="00EB56D5" w:rsidP="00EB56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166E2">
        <w:t xml:space="preserve">Utilizou-se como modelo de partida o modelo final utilizado nas pesquisas </w:t>
      </w:r>
      <w:r w:rsidR="00237813">
        <w:t>Painel TIC COVID</w:t>
      </w:r>
      <w:r w:rsidR="00237813">
        <w:noBreakHyphen/>
        <w:t>19 – 4ª Edição</w:t>
      </w:r>
      <w:r w:rsidR="003166E2">
        <w:t xml:space="preserve"> de 2020</w:t>
      </w:r>
      <w:r>
        <w:t>.</w:t>
      </w:r>
      <w:r w:rsidR="003166E2">
        <w:t xml:space="preserve"> A variável classe social não se mostrou significante para a pesquisa TIC Domicílios 2020, mas optou-se por manter essa variável no modelo dada a relevância temática dessa informação.</w:t>
      </w:r>
    </w:p>
  </w:footnote>
  <w:footnote w:id="4">
    <w:p w14:paraId="268C515F" w14:textId="0D037B54" w:rsidR="003A1AEA" w:rsidRDefault="003A1AEA">
      <w:pPr>
        <w:pStyle w:val="FootnoteText"/>
      </w:pPr>
      <w:r>
        <w:rPr>
          <w:rStyle w:val="FootnoteReference"/>
        </w:rPr>
        <w:footnoteRef/>
      </w:r>
      <w:r>
        <w:t xml:space="preserve"> Maiores detalhes no Relatório Metodológico </w:t>
      </w:r>
      <w:r w:rsidR="009C304C">
        <w:t>Painel TIC - Edição 1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12762" w14:textId="77777777" w:rsidR="005D67F5" w:rsidRPr="005D67F5" w:rsidRDefault="00920FB9" w:rsidP="007B24C4">
    <w:pPr>
      <w:pStyle w:val="Header"/>
    </w:pPr>
    <w:r>
      <w:rPr>
        <w:noProof/>
        <w:lang w:val="en-US"/>
      </w:rPr>
      <w:drawing>
        <wp:inline distT="0" distB="0" distL="0" distR="0" wp14:anchorId="61E0502A" wp14:editId="757037A4">
          <wp:extent cx="944545" cy="935662"/>
          <wp:effectExtent l="0" t="0" r="8255" b="0"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101" cy="9490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6F3"/>
    <w:multiLevelType w:val="hybridMultilevel"/>
    <w:tmpl w:val="D2BE4E7A"/>
    <w:lvl w:ilvl="0" w:tplc="0416000F">
      <w:start w:val="1"/>
      <w:numFmt w:val="decimal"/>
      <w:lvlText w:val="%1.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2D71FE0"/>
    <w:multiLevelType w:val="hybridMultilevel"/>
    <w:tmpl w:val="446A106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16CE8"/>
    <w:multiLevelType w:val="hybridMultilevel"/>
    <w:tmpl w:val="A658ED80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A1962C0"/>
    <w:multiLevelType w:val="hybridMultilevel"/>
    <w:tmpl w:val="3724C6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B1E61"/>
    <w:multiLevelType w:val="hybridMultilevel"/>
    <w:tmpl w:val="551EB974"/>
    <w:lvl w:ilvl="0" w:tplc="04160013">
      <w:start w:val="1"/>
      <w:numFmt w:val="upperRoman"/>
      <w:lvlText w:val="%1."/>
      <w:lvlJc w:val="righ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51F2D"/>
    <w:multiLevelType w:val="hybridMultilevel"/>
    <w:tmpl w:val="5CEAE51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165D0C"/>
    <w:multiLevelType w:val="hybridMultilevel"/>
    <w:tmpl w:val="9DB6D9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F5312"/>
    <w:multiLevelType w:val="hybridMultilevel"/>
    <w:tmpl w:val="352C376A"/>
    <w:lvl w:ilvl="0" w:tplc="04160013">
      <w:start w:val="1"/>
      <w:numFmt w:val="upperRoman"/>
      <w:lvlText w:val="%1."/>
      <w:lvlJc w:val="righ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5A3F01"/>
    <w:multiLevelType w:val="hybridMultilevel"/>
    <w:tmpl w:val="6F22CA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A0468"/>
    <w:multiLevelType w:val="hybridMultilevel"/>
    <w:tmpl w:val="EF16B4BE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297B"/>
    <w:multiLevelType w:val="hybridMultilevel"/>
    <w:tmpl w:val="B37AD8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C1B40"/>
    <w:multiLevelType w:val="hybridMultilevel"/>
    <w:tmpl w:val="1D965BF8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F5"/>
    <w:rsid w:val="00006A58"/>
    <w:rsid w:val="0001504B"/>
    <w:rsid w:val="00040544"/>
    <w:rsid w:val="00042E9A"/>
    <w:rsid w:val="00094B67"/>
    <w:rsid w:val="00095580"/>
    <w:rsid w:val="000A6725"/>
    <w:rsid w:val="000B6071"/>
    <w:rsid w:val="000B6F99"/>
    <w:rsid w:val="000D3F00"/>
    <w:rsid w:val="000D6203"/>
    <w:rsid w:val="000F13FA"/>
    <w:rsid w:val="00111237"/>
    <w:rsid w:val="00112AEF"/>
    <w:rsid w:val="00114757"/>
    <w:rsid w:val="001232FB"/>
    <w:rsid w:val="00174D0B"/>
    <w:rsid w:val="00175675"/>
    <w:rsid w:val="00177953"/>
    <w:rsid w:val="001A569A"/>
    <w:rsid w:val="001C2289"/>
    <w:rsid w:val="001E6680"/>
    <w:rsid w:val="00201837"/>
    <w:rsid w:val="00202DCB"/>
    <w:rsid w:val="00211441"/>
    <w:rsid w:val="00223F84"/>
    <w:rsid w:val="002256D0"/>
    <w:rsid w:val="00233570"/>
    <w:rsid w:val="00235CF8"/>
    <w:rsid w:val="002362FD"/>
    <w:rsid w:val="00237813"/>
    <w:rsid w:val="00241707"/>
    <w:rsid w:val="00245603"/>
    <w:rsid w:val="00275252"/>
    <w:rsid w:val="00276A08"/>
    <w:rsid w:val="0029076B"/>
    <w:rsid w:val="002910FB"/>
    <w:rsid w:val="00297963"/>
    <w:rsid w:val="002A2A17"/>
    <w:rsid w:val="002A796F"/>
    <w:rsid w:val="002C3E8C"/>
    <w:rsid w:val="002D4965"/>
    <w:rsid w:val="002E77FD"/>
    <w:rsid w:val="002F4763"/>
    <w:rsid w:val="003166E2"/>
    <w:rsid w:val="00317695"/>
    <w:rsid w:val="00325305"/>
    <w:rsid w:val="00352479"/>
    <w:rsid w:val="003572F9"/>
    <w:rsid w:val="00380417"/>
    <w:rsid w:val="00381311"/>
    <w:rsid w:val="0038348C"/>
    <w:rsid w:val="00387683"/>
    <w:rsid w:val="003A1AEA"/>
    <w:rsid w:val="003A7818"/>
    <w:rsid w:val="003B227C"/>
    <w:rsid w:val="003B3B44"/>
    <w:rsid w:val="003D2142"/>
    <w:rsid w:val="003E5C4C"/>
    <w:rsid w:val="003E7559"/>
    <w:rsid w:val="003F14A4"/>
    <w:rsid w:val="003F1A4A"/>
    <w:rsid w:val="00401B8A"/>
    <w:rsid w:val="004439B3"/>
    <w:rsid w:val="0047566E"/>
    <w:rsid w:val="004960AC"/>
    <w:rsid w:val="004D097B"/>
    <w:rsid w:val="004D173A"/>
    <w:rsid w:val="004F7A80"/>
    <w:rsid w:val="00515038"/>
    <w:rsid w:val="00530E12"/>
    <w:rsid w:val="00531A0F"/>
    <w:rsid w:val="0057315E"/>
    <w:rsid w:val="005732AD"/>
    <w:rsid w:val="00583C5F"/>
    <w:rsid w:val="005D05F8"/>
    <w:rsid w:val="005D27C7"/>
    <w:rsid w:val="005D3320"/>
    <w:rsid w:val="005D67F5"/>
    <w:rsid w:val="005E10D1"/>
    <w:rsid w:val="005F7B75"/>
    <w:rsid w:val="00606A0F"/>
    <w:rsid w:val="0062447A"/>
    <w:rsid w:val="00637D6E"/>
    <w:rsid w:val="006434BA"/>
    <w:rsid w:val="00644174"/>
    <w:rsid w:val="006A5BB4"/>
    <w:rsid w:val="006B3BA3"/>
    <w:rsid w:val="006B5E16"/>
    <w:rsid w:val="006E4906"/>
    <w:rsid w:val="007064B2"/>
    <w:rsid w:val="007120CA"/>
    <w:rsid w:val="00717F31"/>
    <w:rsid w:val="007213CB"/>
    <w:rsid w:val="00734119"/>
    <w:rsid w:val="00774C4E"/>
    <w:rsid w:val="007800A3"/>
    <w:rsid w:val="00792BC4"/>
    <w:rsid w:val="007A09F7"/>
    <w:rsid w:val="007B1A58"/>
    <w:rsid w:val="007B24C4"/>
    <w:rsid w:val="007C63EF"/>
    <w:rsid w:val="007E4197"/>
    <w:rsid w:val="00803C75"/>
    <w:rsid w:val="0080548B"/>
    <w:rsid w:val="00812B62"/>
    <w:rsid w:val="008137FA"/>
    <w:rsid w:val="00824578"/>
    <w:rsid w:val="00830A2B"/>
    <w:rsid w:val="00855442"/>
    <w:rsid w:val="0085621D"/>
    <w:rsid w:val="008B5A1E"/>
    <w:rsid w:val="008C4D3D"/>
    <w:rsid w:val="008E0004"/>
    <w:rsid w:val="008E1AB2"/>
    <w:rsid w:val="008E2BAA"/>
    <w:rsid w:val="00920FB9"/>
    <w:rsid w:val="00925804"/>
    <w:rsid w:val="009531E8"/>
    <w:rsid w:val="00955FF2"/>
    <w:rsid w:val="009750FB"/>
    <w:rsid w:val="00984FE8"/>
    <w:rsid w:val="009879B0"/>
    <w:rsid w:val="0099572E"/>
    <w:rsid w:val="009A3E15"/>
    <w:rsid w:val="009B0761"/>
    <w:rsid w:val="009C06A8"/>
    <w:rsid w:val="009C304C"/>
    <w:rsid w:val="009D077B"/>
    <w:rsid w:val="009F6371"/>
    <w:rsid w:val="00A163BB"/>
    <w:rsid w:val="00A24DC2"/>
    <w:rsid w:val="00A25CD0"/>
    <w:rsid w:val="00A64EF7"/>
    <w:rsid w:val="00A85C8E"/>
    <w:rsid w:val="00AB39AC"/>
    <w:rsid w:val="00AC4F22"/>
    <w:rsid w:val="00AD6777"/>
    <w:rsid w:val="00AD7D67"/>
    <w:rsid w:val="00AE7831"/>
    <w:rsid w:val="00B309BB"/>
    <w:rsid w:val="00B54448"/>
    <w:rsid w:val="00B61646"/>
    <w:rsid w:val="00B632DB"/>
    <w:rsid w:val="00B92775"/>
    <w:rsid w:val="00B9346C"/>
    <w:rsid w:val="00BA3893"/>
    <w:rsid w:val="00BA797D"/>
    <w:rsid w:val="00BB6625"/>
    <w:rsid w:val="00BD3F39"/>
    <w:rsid w:val="00C3605E"/>
    <w:rsid w:val="00C775A1"/>
    <w:rsid w:val="00C80D23"/>
    <w:rsid w:val="00CB0ACF"/>
    <w:rsid w:val="00CB33CD"/>
    <w:rsid w:val="00CC0B54"/>
    <w:rsid w:val="00CF17E6"/>
    <w:rsid w:val="00D028FF"/>
    <w:rsid w:val="00D25704"/>
    <w:rsid w:val="00D57D1F"/>
    <w:rsid w:val="00DC3775"/>
    <w:rsid w:val="00E27E1F"/>
    <w:rsid w:val="00E63696"/>
    <w:rsid w:val="00EA10F8"/>
    <w:rsid w:val="00EB2CDB"/>
    <w:rsid w:val="00EB3600"/>
    <w:rsid w:val="00EB56D5"/>
    <w:rsid w:val="00EC1617"/>
    <w:rsid w:val="00EC4840"/>
    <w:rsid w:val="00ED356C"/>
    <w:rsid w:val="00F42A8C"/>
    <w:rsid w:val="00F44589"/>
    <w:rsid w:val="00F54082"/>
    <w:rsid w:val="00F54922"/>
    <w:rsid w:val="00FC010B"/>
    <w:rsid w:val="00FD2291"/>
    <w:rsid w:val="00FE2A5F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4C3187"/>
  <w15:docId w15:val="{BFF03BB6-81BF-4DA7-A0EF-64C79638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7813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7813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D3F00"/>
    <w:pPr>
      <w:keepNext/>
      <w:keepLines/>
      <w:spacing w:before="240" w:after="60"/>
      <w:outlineLvl w:val="2"/>
    </w:pPr>
    <w:rPr>
      <w:rFonts w:eastAsiaTheme="majorEastAsia" w:cstheme="majorBidi"/>
      <w:b/>
      <w:sz w:val="20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01837"/>
    <w:pPr>
      <w:keepNext/>
      <w:spacing w:before="240" w:after="120"/>
      <w:jc w:val="both"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7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67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7F5"/>
  </w:style>
  <w:style w:type="paragraph" w:styleId="Footer">
    <w:name w:val="footer"/>
    <w:basedOn w:val="Normal"/>
    <w:link w:val="FooterChar"/>
    <w:uiPriority w:val="99"/>
    <w:unhideWhenUsed/>
    <w:rsid w:val="005D67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7F5"/>
  </w:style>
  <w:style w:type="paragraph" w:styleId="NoSpacing">
    <w:name w:val="No Spacing"/>
    <w:uiPriority w:val="1"/>
    <w:qFormat/>
    <w:rsid w:val="005D67F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37813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C775A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37813"/>
    <w:rPr>
      <w:rFonts w:asciiTheme="majorHAnsi" w:eastAsiaTheme="majorEastAsia" w:hAnsiTheme="majorHAnsi" w:cstheme="majorBidi"/>
      <w:b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EB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56D5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56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6D5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5E10D1"/>
    <w:pPr>
      <w:spacing w:after="0" w:line="240" w:lineRule="auto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10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56D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56D5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EB56D5"/>
    <w:rPr>
      <w:color w:val="808080"/>
    </w:rPr>
  </w:style>
  <w:style w:type="table" w:styleId="TableGrid">
    <w:name w:val="Table Grid"/>
    <w:basedOn w:val="TableNormal"/>
    <w:uiPriority w:val="39"/>
    <w:rsid w:val="00EB5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oPendente1">
    <w:name w:val="Menção Pendente1"/>
    <w:basedOn w:val="DefaultParagraphFont"/>
    <w:uiPriority w:val="99"/>
    <w:semiHidden/>
    <w:unhideWhenUsed/>
    <w:rsid w:val="00EB56D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56D5"/>
    <w:pPr>
      <w:spacing w:after="0" w:line="240" w:lineRule="auto"/>
    </w:pPr>
  </w:style>
  <w:style w:type="character" w:customStyle="1" w:styleId="A1">
    <w:name w:val="A1"/>
    <w:uiPriority w:val="99"/>
    <w:rsid w:val="00EB56D5"/>
    <w:rPr>
      <w:rFonts w:cs="Optima LT Std"/>
      <w:color w:val="000000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97963"/>
    <w:rPr>
      <w:color w:val="605E5C"/>
      <w:shd w:val="clear" w:color="auto" w:fill="E1DFDD"/>
    </w:rPr>
  </w:style>
  <w:style w:type="paragraph" w:styleId="Title">
    <w:name w:val="Title"/>
    <w:basedOn w:val="Normal"/>
    <w:next w:val="BodyText"/>
    <w:link w:val="TitleChar"/>
    <w:autoRedefine/>
    <w:uiPriority w:val="10"/>
    <w:qFormat/>
    <w:rsid w:val="000D3F0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3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99"/>
    <w:semiHidden/>
    <w:unhideWhenUsed/>
    <w:rsid w:val="000D3F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3F00"/>
  </w:style>
  <w:style w:type="character" w:customStyle="1" w:styleId="Heading3Char">
    <w:name w:val="Heading 3 Char"/>
    <w:basedOn w:val="DefaultParagraphFont"/>
    <w:link w:val="Heading3"/>
    <w:uiPriority w:val="9"/>
    <w:rsid w:val="000D3F00"/>
    <w:rPr>
      <w:rFonts w:eastAsiaTheme="majorEastAsia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01837"/>
    <w:rPr>
      <w:i/>
      <w:iCs/>
    </w:rPr>
  </w:style>
  <w:style w:type="paragraph" w:styleId="Subtitle">
    <w:name w:val="Subtitle"/>
    <w:basedOn w:val="Title"/>
    <w:next w:val="Normal"/>
    <w:link w:val="SubtitleChar"/>
    <w:autoRedefine/>
    <w:uiPriority w:val="11"/>
    <w:qFormat/>
    <w:rsid w:val="00237813"/>
    <w:rPr>
      <w:b/>
      <w:bCs/>
      <w:caps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37813"/>
    <w:rPr>
      <w:rFonts w:asciiTheme="majorHAnsi" w:eastAsiaTheme="majorEastAsia" w:hAnsiTheme="majorHAnsi" w:cstheme="majorBidi"/>
      <w:b/>
      <w:bCs/>
      <w:caps/>
      <w:spacing w:val="-10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etic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B35E68C-16D9-DA42-9487-A63BD1B8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2265</Words>
  <Characters>12231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marcelopitta@nic.br;winston@nic.br;mpizzott@nic.br</dc:creator>
  <cp:lastModifiedBy>Fabio Storino</cp:lastModifiedBy>
  <cp:revision>33</cp:revision>
  <cp:lastPrinted>2016-03-08T13:11:00Z</cp:lastPrinted>
  <dcterms:created xsi:type="dcterms:W3CDTF">2022-02-07T13:21:00Z</dcterms:created>
  <dcterms:modified xsi:type="dcterms:W3CDTF">2022-04-04T09:33:00Z</dcterms:modified>
</cp:coreProperties>
</file>